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1F8A9" w14:textId="77777777" w:rsidR="0052000D" w:rsidRDefault="00545001" w:rsidP="00A65D11">
      <w:pPr>
        <w:widowControl/>
        <w:jc w:val="center"/>
        <w:rPr>
          <w:rFonts w:ascii="TH SarabunPSK" w:eastAsiaTheme="minorEastAsia" w:hAnsi="TH SarabunPSK" w:cs="TH SarabunPSK"/>
          <w:b/>
          <w:kern w:val="0"/>
          <w:sz w:val="32"/>
          <w:szCs w:val="32"/>
          <w:lang w:bidi="th-TH"/>
        </w:rPr>
      </w:pPr>
      <w:r>
        <w:rPr>
          <w:rFonts w:ascii="TH SarabunPSK" w:eastAsiaTheme="minorEastAsia" w:hAnsi="TH SarabunPSK" w:cs="TH SarabunPSK"/>
          <w:b/>
          <w:kern w:val="0"/>
          <w:sz w:val="32"/>
          <w:szCs w:val="32"/>
          <w:lang w:bidi="th-TH"/>
        </w:rPr>
        <w:t>Perceived quality, perceived value, customer expectations affecting students' satisfaction toward employment guidance service: A case of Shandong Foreign Affairs Vocational University</w:t>
      </w:r>
    </w:p>
    <w:p w14:paraId="024D1249" w14:textId="376622BE" w:rsidR="0052000D" w:rsidRDefault="00545001" w:rsidP="00A65D11">
      <w:pPr>
        <w:widowControl/>
        <w:jc w:val="center"/>
        <w:rPr>
          <w:rFonts w:ascii="TH SarabunPSK" w:eastAsiaTheme="minorEastAsia" w:hAnsi="TH SarabunPSK" w:cs="TH SarabunPSK"/>
          <w:bCs/>
          <w:kern w:val="0"/>
          <w:sz w:val="32"/>
          <w:szCs w:val="32"/>
          <w:lang w:bidi="th-TH"/>
        </w:rPr>
      </w:pPr>
      <w:r>
        <w:rPr>
          <w:rFonts w:ascii="TH SarabunPSK" w:eastAsiaTheme="minorEastAsia" w:hAnsi="TH SarabunPSK" w:cs="TH SarabunPSK" w:hint="eastAsia"/>
          <w:bCs/>
          <w:kern w:val="0"/>
          <w:sz w:val="32"/>
          <w:szCs w:val="32"/>
          <w:lang w:bidi="th-TH"/>
        </w:rPr>
        <w:t>Shuai Shao</w:t>
      </w:r>
      <w:r w:rsidR="00A65D11">
        <w:rPr>
          <w:rFonts w:ascii="TH SarabunPSK" w:eastAsiaTheme="minorEastAsia" w:hAnsi="TH SarabunPSK" w:cs="TH SarabunPSK"/>
          <w:bCs/>
          <w:kern w:val="0"/>
          <w:sz w:val="32"/>
          <w:szCs w:val="32"/>
          <w:lang w:bidi="th-TH"/>
        </w:rPr>
        <w:t xml:space="preserve"> and </w:t>
      </w:r>
      <w:r w:rsidR="00442672">
        <w:rPr>
          <w:rFonts w:ascii="TH SarabunPSK" w:eastAsiaTheme="minorEastAsia" w:hAnsi="TH SarabunPSK" w:cs="TH SarabunPSK"/>
          <w:bCs/>
          <w:kern w:val="0"/>
          <w:sz w:val="32"/>
          <w:szCs w:val="32"/>
          <w:lang w:bidi="th-TH"/>
        </w:rPr>
        <w:t xml:space="preserve">Bundit </w:t>
      </w:r>
      <w:proofErr w:type="spellStart"/>
      <w:r w:rsidR="00442672">
        <w:rPr>
          <w:rFonts w:ascii="TH SarabunPSK" w:eastAsiaTheme="minorEastAsia" w:hAnsi="TH SarabunPSK" w:cs="TH SarabunPSK"/>
          <w:bCs/>
          <w:kern w:val="0"/>
          <w:sz w:val="32"/>
          <w:szCs w:val="32"/>
          <w:lang w:bidi="th-TH"/>
        </w:rPr>
        <w:t>Vaivong</w:t>
      </w:r>
      <w:proofErr w:type="spellEnd"/>
    </w:p>
    <w:p w14:paraId="61C33869" w14:textId="77777777" w:rsidR="0052000D" w:rsidRDefault="00545001" w:rsidP="00A65D11">
      <w:pPr>
        <w:widowControl/>
        <w:jc w:val="center"/>
        <w:rPr>
          <w:rFonts w:ascii="TH SarabunPSK" w:eastAsiaTheme="minorEastAsia" w:hAnsi="TH SarabunPSK" w:cs="TH SarabunPSK"/>
          <w:bCs/>
          <w:kern w:val="0"/>
          <w:sz w:val="32"/>
          <w:szCs w:val="32"/>
          <w:lang w:bidi="th-TH"/>
        </w:rPr>
      </w:pPr>
      <w:r>
        <w:rPr>
          <w:rFonts w:ascii="TH SarabunPSK" w:eastAsiaTheme="minorEastAsia" w:hAnsi="TH SarabunPSK" w:cs="TH SarabunPSK" w:hint="eastAsia"/>
          <w:bCs/>
          <w:kern w:val="0"/>
          <w:sz w:val="32"/>
          <w:szCs w:val="32"/>
          <w:lang w:bidi="th-TH"/>
        </w:rPr>
        <w:t xml:space="preserve">Master of Business </w:t>
      </w:r>
      <w:r>
        <w:rPr>
          <w:rFonts w:ascii="TH SarabunPSK" w:eastAsiaTheme="minorEastAsia" w:hAnsi="TH SarabunPSK" w:cs="TH SarabunPSK" w:hint="eastAsia"/>
          <w:bCs/>
          <w:kern w:val="0"/>
          <w:sz w:val="32"/>
          <w:szCs w:val="32"/>
          <w:lang w:bidi="th-TH"/>
        </w:rPr>
        <w:t>Administration, Faculty of Management Sciences, Phuket Rajabhat University</w:t>
      </w:r>
    </w:p>
    <w:p w14:paraId="1957EF56" w14:textId="1CE77A36" w:rsidR="0052000D" w:rsidRPr="00442672" w:rsidRDefault="00545001" w:rsidP="00A65D11">
      <w:pPr>
        <w:widowControl/>
        <w:jc w:val="center"/>
        <w:rPr>
          <w:rFonts w:ascii="TH SarabunPSK" w:eastAsiaTheme="minorEastAsia" w:hAnsi="TH SarabunPSK" w:cs="TH SarabunPSK"/>
          <w:bCs/>
          <w:kern w:val="0"/>
          <w:sz w:val="32"/>
          <w:szCs w:val="32"/>
          <w:lang w:val="pt-PT" w:bidi="th-TH"/>
        </w:rPr>
      </w:pPr>
      <w:r w:rsidRPr="00442672">
        <w:rPr>
          <w:rFonts w:ascii="TH SarabunPSK" w:eastAsiaTheme="minorEastAsia" w:hAnsi="TH SarabunPSK" w:cs="TH SarabunPSK" w:hint="eastAsia"/>
          <w:bCs/>
          <w:kern w:val="0"/>
          <w:sz w:val="32"/>
          <w:szCs w:val="32"/>
          <w:lang w:val="pt-PT" w:bidi="th-TH"/>
        </w:rPr>
        <w:t>E-Mail:</w:t>
      </w:r>
      <w:r w:rsidR="00442672" w:rsidRPr="00442672">
        <w:rPr>
          <w:rFonts w:ascii="TH SarabunPSK" w:eastAsiaTheme="minorEastAsia" w:hAnsi="TH SarabunPSK" w:cs="TH SarabunPSK"/>
          <w:bCs/>
          <w:kern w:val="0"/>
          <w:sz w:val="32"/>
          <w:szCs w:val="32"/>
          <w:lang w:val="pt-PT" w:bidi="th-TH"/>
        </w:rPr>
        <w:t xml:space="preserve"> </w:t>
      </w:r>
      <w:hyperlink r:id="rId5" w:history="1">
        <w:r w:rsidR="00442672" w:rsidRPr="00FF2D5C">
          <w:rPr>
            <w:rStyle w:val="a7"/>
            <w:rFonts w:ascii="TH SarabunPSK" w:eastAsiaTheme="minorEastAsia" w:hAnsi="TH SarabunPSK" w:cs="TH SarabunPSK"/>
            <w:bCs/>
            <w:kern w:val="0"/>
            <w:sz w:val="32"/>
            <w:szCs w:val="32"/>
            <w:lang w:val="pt-PT" w:bidi="th-TH"/>
          </w:rPr>
          <w:t>bundit.v@pkru.ac.th</w:t>
        </w:r>
      </w:hyperlink>
      <w:r w:rsidR="00442672">
        <w:rPr>
          <w:rFonts w:ascii="TH SarabunPSK" w:eastAsiaTheme="minorEastAsia" w:hAnsi="TH SarabunPSK" w:cs="TH SarabunPSK"/>
          <w:bCs/>
          <w:kern w:val="0"/>
          <w:sz w:val="32"/>
          <w:szCs w:val="32"/>
          <w:lang w:val="pt-PT" w:bidi="th-TH"/>
        </w:rPr>
        <w:t xml:space="preserve"> </w:t>
      </w:r>
    </w:p>
    <w:p w14:paraId="5D8582E4" w14:textId="77777777" w:rsidR="0052000D" w:rsidRPr="00442672" w:rsidRDefault="00545001" w:rsidP="00A65D11">
      <w:pPr>
        <w:widowControl/>
        <w:spacing w:after="120"/>
        <w:jc w:val="left"/>
        <w:rPr>
          <w:rFonts w:ascii="TH SarabunPSK" w:eastAsiaTheme="majorEastAsia" w:hAnsi="TH SarabunPSK" w:cs="TH SarabunPSK"/>
          <w:b/>
          <w:bCs/>
          <w:color w:val="000000" w:themeColor="text1"/>
          <w:kern w:val="0"/>
          <w:sz w:val="32"/>
          <w:szCs w:val="32"/>
          <w:lang w:val="pt-PT" w:eastAsia="en-US" w:bidi="th-TH"/>
        </w:rPr>
      </w:pPr>
      <w:bookmarkStart w:id="0" w:name="_Toc13790"/>
      <w:bookmarkStart w:id="1" w:name="_Toc25103"/>
      <w:bookmarkStart w:id="2" w:name="_Toc5945"/>
      <w:bookmarkStart w:id="3" w:name="_Toc9242"/>
      <w:bookmarkStart w:id="4" w:name="_Toc18721"/>
      <w:bookmarkStart w:id="5" w:name="_Toc28903"/>
      <w:bookmarkStart w:id="6" w:name="_Toc6883"/>
      <w:r>
        <w:rPr>
          <w:rFonts w:ascii="TH SarabunPSK" w:eastAsiaTheme="majorEastAsia" w:hAnsi="TH SarabunPSK" w:cs="TH SarabunPSK"/>
          <w:b/>
          <w:bCs/>
          <w:noProof/>
          <w:color w:val="000000" w:themeColor="text1"/>
          <w:kern w:val="0"/>
          <w:sz w:val="32"/>
          <w:szCs w:val="32"/>
          <w:lang w:eastAsia="en-US" w:bidi="th-TH"/>
        </w:rPr>
        <mc:AlternateContent>
          <mc:Choice Requires="wps">
            <w:drawing>
              <wp:anchor distT="0" distB="0" distL="114300" distR="114300" simplePos="0" relativeHeight="251658240" behindDoc="0" locked="0" layoutInCell="1" allowOverlap="1" wp14:anchorId="19B213E0" wp14:editId="417CBCB9">
                <wp:simplePos x="0" y="0"/>
                <wp:positionH relativeFrom="column">
                  <wp:posOffset>4791710</wp:posOffset>
                </wp:positionH>
                <wp:positionV relativeFrom="paragraph">
                  <wp:posOffset>-736600</wp:posOffset>
                </wp:positionV>
                <wp:extent cx="1134110" cy="1680845"/>
                <wp:effectExtent l="4445" t="4445" r="17145" b="1651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386715"/>
                        </a:xfrm>
                        <a:prstGeom prst="rect">
                          <a:avLst/>
                        </a:prstGeom>
                        <a:solidFill>
                          <a:srgbClr val="FFFFFF"/>
                        </a:solidFill>
                        <a:ln w="9525" cmpd="sng">
                          <a:solidFill>
                            <a:srgbClr val="FFFFFF"/>
                          </a:solidFill>
                          <a:miter lim="800000"/>
                        </a:ln>
                        <a:effectLst/>
                      </wps:spPr>
                      <wps:txbx>
                        <w:txbxContent>
                          <w:p w14:paraId="70AE24E2" w14:textId="77777777" w:rsidR="0052000D" w:rsidRDefault="0052000D"/>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19B213E0" id="_x0000_t202" coordsize="21600,21600" o:spt="202" path="m,l,21600r21600,l21600,xe">
                <v:stroke joinstyle="miter"/>
                <v:path gradientshapeok="t" o:connecttype="rect"/>
              </v:shapetype>
              <v:shape id="文本框 28" o:spid="_x0000_s1026" type="#_x0000_t202" style="position:absolute;margin-left:377.3pt;margin-top:-58pt;width:89.3pt;height:132.3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lSNgIAAFQEAAAOAAAAZHJzL2Uyb0RvYy54bWysVEtu2zAQ3RfoHQjua1mOnThC5CBN4KJA&#10;+gHSHoCmKIkoyWFJ2pJ7gOYGXXXTfc+Vc3RIyanb7oJqQXA4wzdv3gx1cdlrRXbCeQmmpPlkSokw&#10;HCppmpJ+/LB+saTEB2YqpsCIku6Fp5er588uOluIGbSgKuEIghhfdLakbQi2yDLPW6GZn4AVBp01&#10;OM0Cmq7JKsc6RNcqm02np1kHrrIOuPAeT28GJ10l/LoWPLyray8CUSVFbiGtLq2buGarC1Y0jtlW&#10;8pEGewILzaTBpI9QNywwsnXyHygtuQMPdZhw0BnUteQi1YDV5NO/qrlrmRWpFhTH20eZ/P+D5W93&#10;7x2RVUln2CnDNPbo4dv9w/efDz++EjxDgTrrC4y7sxgZ+pfQY6NTsd7eAv/kiYHrlplGXDkHXStY&#10;hQTzeDM7ujrg+Aiy6d5AhYnYNkAC6muno3qoB0F0bNT+sTmiD4THlPnJPM/RxdF3sjw9yxcpBSsO&#10;t63z4ZUATeKmpA6bn9DZ7taHyIYVh5CYzIOS1VoqlQzXbK6VIzuGg7JO34j+R5gypCvp+WK2QB7a&#10;omzeNIMWT0DTMuDwK6lLupzGb0ypTKQk0viO1KOQUbtBxdBv+rExG6j2KKmDYbTxKeKmBfeFkg7H&#10;Ggl+3jInKFGvDbblPJ/P4ztIxnxxNkPDHXs2xx5mOEKVNFAybK/D8Ha21smmxUyHQbjCVq5lUjlS&#10;HViNA4Cjm8Qfn1l8G8d2ivr9M1j9AgAA//8DAFBLAwQUAAYACAAAACEA6LDgSuQAAAAMAQAADwAA&#10;AGRycy9kb3ducmV2LnhtbEyPUU/CMBSF3038D8018Q3aAQ6Y64gxmugDIQLG+Fbaug3X22XtYP57&#10;rk/6eHO/nPOdfDW4hp1sF2qPEpKxAGZRe1NjKWG/ex4tgIWo0KjGo5XwYwOsiuurXGXGn/HNnrax&#10;ZBSCIVMSqhjbjPOgK+tUGPvWIv2+fOdUpLMruenUmcJdwydCpNypGqmhUq19rKz+3vZOwpNuX5ab&#10;z+b4sdHvIu3F+vXo11Le3gwP98CiHeIfDL/6pA4FOR18jyawRsL8bpYSKmGUJCmtImQ5nU6AHYid&#10;LebAi5z/H1FcAAAA//8DAFBLAQItABQABgAIAAAAIQC2gziS/gAAAOEBAAATAAAAAAAAAAAAAAAA&#10;AAAAAABbQ29udGVudF9UeXBlc10ueG1sUEsBAi0AFAAGAAgAAAAhADj9If/WAAAAlAEAAAsAAAAA&#10;AAAAAAAAAAAALwEAAF9yZWxzLy5yZWxzUEsBAi0AFAAGAAgAAAAhAHUcmVI2AgAAVAQAAA4AAAAA&#10;AAAAAAAAAAAALgIAAGRycy9lMm9Eb2MueG1sUEsBAi0AFAAGAAgAAAAhAOiw4ErkAAAADAEAAA8A&#10;AAAAAAAAAAAAAAAAkAQAAGRycy9kb3ducmV2LnhtbFBLBQYAAAAABAAEAPMAAAChBQAAAAA=&#10;" strokecolor="white">
                <v:textbox style="mso-fit-shape-to-text:t">
                  <w:txbxContent>
                    <w:p w14:paraId="70AE24E2" w14:textId="77777777" w:rsidR="0052000D" w:rsidRDefault="0052000D"/>
                  </w:txbxContent>
                </v:textbox>
              </v:shape>
            </w:pict>
          </mc:Fallback>
        </mc:AlternateContent>
      </w:r>
      <w:r w:rsidRPr="00442672">
        <w:rPr>
          <w:rFonts w:ascii="TH SarabunPSK" w:eastAsiaTheme="majorEastAsia" w:hAnsi="TH SarabunPSK" w:cs="TH SarabunPSK"/>
          <w:b/>
          <w:bCs/>
          <w:color w:val="000000" w:themeColor="text1"/>
          <w:kern w:val="0"/>
          <w:sz w:val="32"/>
          <w:szCs w:val="32"/>
          <w:lang w:val="pt-PT" w:eastAsia="en-US" w:bidi="th-TH"/>
        </w:rPr>
        <w:t>ABSTRACT</w:t>
      </w:r>
      <w:bookmarkEnd w:id="0"/>
      <w:bookmarkEnd w:id="1"/>
      <w:bookmarkEnd w:id="2"/>
      <w:bookmarkEnd w:id="3"/>
      <w:bookmarkEnd w:id="4"/>
      <w:bookmarkEnd w:id="5"/>
      <w:bookmarkEnd w:id="6"/>
    </w:p>
    <w:p w14:paraId="65FB5E0F" w14:textId="77777777" w:rsidR="0052000D" w:rsidRDefault="00545001" w:rsidP="00A65D11">
      <w:pPr>
        <w:widowControl/>
        <w:ind w:firstLineChars="300" w:firstLine="84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 xml:space="preserve">With the expansion of higher education in China, graduate employment competition has </w:t>
      </w:r>
      <w:r>
        <w:rPr>
          <w:rFonts w:ascii="TH SarabunPSK" w:eastAsiaTheme="minorEastAsia" w:hAnsi="TH SarabunPSK" w:cs="TH SarabunPSK"/>
          <w:kern w:val="0"/>
          <w:sz w:val="28"/>
          <w:szCs w:val="28"/>
          <w:lang w:bidi="th-TH"/>
        </w:rPr>
        <w:t>intensified, making employability a key indicator of vocational university quality. Career guidance services play an important role in enhancing students’ career development and employment outcomes, and evaluating these services from the perspective of stu</w:t>
      </w:r>
      <w:r>
        <w:rPr>
          <w:rFonts w:ascii="TH SarabunPSK" w:eastAsiaTheme="minorEastAsia" w:hAnsi="TH SarabunPSK" w:cs="TH SarabunPSK"/>
          <w:kern w:val="0"/>
          <w:sz w:val="28"/>
          <w:szCs w:val="28"/>
          <w:lang w:bidi="th-TH"/>
        </w:rPr>
        <w:t>dent satisfaction is therefore essential.</w:t>
      </w:r>
    </w:p>
    <w:p w14:paraId="7754619A" w14:textId="77777777" w:rsidR="0052000D" w:rsidRDefault="00545001" w:rsidP="00A65D11">
      <w:pPr>
        <w:widowControl/>
        <w:ind w:firstLineChars="300" w:firstLine="84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Based on the American Customer Satisfaction Index (ACSI) model, this study examines the effects of perceived quality, perceived value, and customer expectations on student satisfaction. Questionnaire data were coll</w:t>
      </w:r>
      <w:r>
        <w:rPr>
          <w:rFonts w:ascii="TH SarabunPSK" w:eastAsiaTheme="minorEastAsia" w:hAnsi="TH SarabunPSK" w:cs="TH SarabunPSK"/>
          <w:kern w:val="0"/>
          <w:sz w:val="28"/>
          <w:szCs w:val="28"/>
          <w:lang w:bidi="th-TH"/>
        </w:rPr>
        <w:t>ected from 400 graduating students of the Class of 2025 at Shandong Foreign Affairs Vocational University and analyzed using SPSS.</w:t>
      </w:r>
    </w:p>
    <w:p w14:paraId="7B315052" w14:textId="77777777" w:rsidR="0052000D" w:rsidRDefault="00545001" w:rsidP="00A65D11">
      <w:pPr>
        <w:widowControl/>
        <w:ind w:firstLineChars="300" w:firstLine="84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t>The results show that overall student satisfaction with career guidance services is relatively high. Perceived quality, perce</w:t>
      </w:r>
      <w:r>
        <w:rPr>
          <w:rFonts w:ascii="TH SarabunPSK" w:eastAsiaTheme="minorEastAsia" w:hAnsi="TH SarabunPSK" w:cs="TH SarabunPSK"/>
          <w:kern w:val="0"/>
          <w:sz w:val="28"/>
          <w:szCs w:val="28"/>
          <w:lang w:bidi="th-TH"/>
        </w:rPr>
        <w:t>ived value, and customer expectations all have significant positive effects on satisfaction, with perceived quality exerting the strongest influence. These findings confirm the applicability of the ACSI model in vocational higher education and provide prac</w:t>
      </w:r>
      <w:r>
        <w:rPr>
          <w:rFonts w:ascii="TH SarabunPSK" w:eastAsiaTheme="minorEastAsia" w:hAnsi="TH SarabunPSK" w:cs="TH SarabunPSK"/>
          <w:kern w:val="0"/>
          <w:sz w:val="28"/>
          <w:szCs w:val="28"/>
          <w:lang w:bidi="th-TH"/>
        </w:rPr>
        <w:t>tical implications for improving career guidance services and graduate employability.</w:t>
      </w:r>
    </w:p>
    <w:p w14:paraId="2DE351E7" w14:textId="6F706521" w:rsidR="0052000D" w:rsidRDefault="00545001" w:rsidP="00A65D11">
      <w:pPr>
        <w:widowControl/>
        <w:ind w:firstLineChars="300" w:firstLine="840"/>
        <w:rPr>
          <w:rFonts w:ascii="TH SarabunPSK" w:eastAsiaTheme="minorEastAsia" w:hAnsi="TH SarabunPSK" w:cs="TH SarabunPSK"/>
          <w:kern w:val="0"/>
          <w:sz w:val="28"/>
          <w:szCs w:val="28"/>
          <w:lang w:bidi="th-TH"/>
        </w:rPr>
      </w:pPr>
      <w:r>
        <w:rPr>
          <w:rFonts w:ascii="TH SarabunPSK" w:eastAsiaTheme="minorEastAsia" w:hAnsi="TH SarabunPSK" w:cs="TH SarabunPSK"/>
          <w:kern w:val="0"/>
          <w:sz w:val="28"/>
          <w:szCs w:val="28"/>
          <w:lang w:bidi="th-TH"/>
        </w:rPr>
        <w:lastRenderedPageBreak/>
        <w:t>Keywords</w:t>
      </w:r>
      <w:r w:rsidR="004E102C">
        <w:rPr>
          <w:rFonts w:ascii="TH SarabunPSK" w:eastAsiaTheme="minorEastAsia" w:hAnsi="TH SarabunPSK" w:cs="TH SarabunPSK"/>
          <w:kern w:val="0"/>
          <w:sz w:val="28"/>
          <w:szCs w:val="28"/>
          <w:lang w:bidi="th-TH"/>
        </w:rPr>
        <w:t xml:space="preserve">: </w:t>
      </w:r>
      <w:r>
        <w:rPr>
          <w:rFonts w:ascii="TH SarabunPSK" w:eastAsiaTheme="minorEastAsia" w:hAnsi="TH SarabunPSK" w:cs="TH SarabunPSK"/>
          <w:kern w:val="0"/>
          <w:sz w:val="28"/>
          <w:szCs w:val="28"/>
          <w:lang w:bidi="th-TH"/>
        </w:rPr>
        <w:t>Career Guidance Services; Student Satisfaction; Perceived Quality; Perceived Value; Customer Expectations; ACSI Model; Vocational Higher Education</w:t>
      </w:r>
    </w:p>
    <w:p w14:paraId="04C9C4FE" w14:textId="77777777" w:rsidR="0052000D" w:rsidRDefault="00545001" w:rsidP="00A65D11">
      <w:pPr>
        <w:widowControl/>
        <w:spacing w:after="120"/>
        <w:jc w:val="left"/>
        <w:rPr>
          <w:rFonts w:ascii="TH SarabunPSK" w:eastAsiaTheme="majorEastAsia" w:hAnsi="TH SarabunPSK" w:cs="TH SarabunPSK"/>
          <w:b/>
          <w:bCs/>
          <w:color w:val="000000" w:themeColor="text1"/>
          <w:kern w:val="0"/>
          <w:sz w:val="32"/>
          <w:szCs w:val="32"/>
          <w:lang w:bidi="th-TH"/>
        </w:rPr>
      </w:pPr>
      <w:r>
        <w:rPr>
          <w:rFonts w:ascii="TH SarabunPSK" w:eastAsiaTheme="majorEastAsia" w:hAnsi="TH SarabunPSK" w:cs="TH SarabunPSK"/>
          <w:b/>
          <w:bCs/>
          <w:color w:val="000000" w:themeColor="text1"/>
          <w:kern w:val="0"/>
          <w:sz w:val="32"/>
          <w:szCs w:val="32"/>
          <w:lang w:bidi="th-TH"/>
        </w:rPr>
        <w:t>INTRODUCTION</w:t>
      </w:r>
    </w:p>
    <w:p w14:paraId="4B96EEFB" w14:textId="77777777" w:rsidR="0052000D" w:rsidRDefault="00545001" w:rsidP="00A65D11">
      <w:pPr>
        <w:widowControl/>
        <w:ind w:firstLineChars="300" w:firstLine="840"/>
        <w:rPr>
          <w:rFonts w:ascii="TH SarabunPSK" w:eastAsiaTheme="minorEastAsia" w:hAnsi="TH SarabunPSK" w:cs="TH SarabunPSK"/>
          <w:kern w:val="0"/>
          <w:sz w:val="28"/>
          <w:szCs w:val="28"/>
          <w:lang w:eastAsia="en-US" w:bidi="th-TH"/>
        </w:rPr>
      </w:pPr>
      <w:r>
        <w:rPr>
          <w:rFonts w:ascii="TH SarabunPSK" w:eastAsiaTheme="minorEastAsia" w:hAnsi="TH SarabunPSK" w:cs="TH SarabunPSK" w:hint="eastAsia"/>
          <w:kern w:val="0"/>
          <w:sz w:val="28"/>
          <w:szCs w:val="28"/>
          <w:lang w:eastAsia="en-US" w:bidi="th-TH"/>
        </w:rPr>
        <w:t>University student employment remains a significant challenge in higher education, closely linked to social stability and economic development. With the expansion of higher education enrollment, employment pressure on graduates has intensified</w:t>
      </w:r>
      <w:r>
        <w:rPr>
          <w:rFonts w:ascii="TH SarabunPSK" w:eastAsiaTheme="minorEastAsia" w:hAnsi="TH SarabunPSK" w:cs="TH SarabunPSK" w:hint="eastAsia"/>
          <w:kern w:val="0"/>
          <w:sz w:val="28"/>
          <w:szCs w:val="28"/>
          <w:lang w:eastAsia="en-US" w:bidi="th-TH"/>
        </w:rPr>
        <w:t xml:space="preserve">, and structural mismatches in the labor market have become more evident. Huang </w:t>
      </w:r>
      <w:proofErr w:type="spellStart"/>
      <w:r>
        <w:rPr>
          <w:rFonts w:ascii="TH SarabunPSK" w:eastAsiaTheme="minorEastAsia" w:hAnsi="TH SarabunPSK" w:cs="TH SarabunPSK" w:hint="eastAsia"/>
          <w:kern w:val="0"/>
          <w:sz w:val="28"/>
          <w:szCs w:val="28"/>
          <w:lang w:eastAsia="en-US" w:bidi="th-TH"/>
        </w:rPr>
        <w:t>Lixia</w:t>
      </w:r>
      <w:proofErr w:type="spellEnd"/>
      <w:r>
        <w:rPr>
          <w:rFonts w:ascii="TH SarabunPSK" w:eastAsiaTheme="minorEastAsia" w:hAnsi="TH SarabunPSK" w:cs="TH SarabunPSK" w:hint="eastAsia"/>
          <w:kern w:val="0"/>
          <w:sz w:val="28"/>
          <w:szCs w:val="28"/>
          <w:lang w:eastAsia="en-US" w:bidi="th-TH"/>
        </w:rPr>
        <w:t xml:space="preserve"> and Mo </w:t>
      </w:r>
      <w:proofErr w:type="spellStart"/>
      <w:r>
        <w:rPr>
          <w:rFonts w:ascii="TH SarabunPSK" w:eastAsiaTheme="minorEastAsia" w:hAnsi="TH SarabunPSK" w:cs="TH SarabunPSK" w:hint="eastAsia"/>
          <w:kern w:val="0"/>
          <w:sz w:val="28"/>
          <w:szCs w:val="28"/>
          <w:lang w:eastAsia="en-US" w:bidi="th-TH"/>
        </w:rPr>
        <w:t>Guifang</w:t>
      </w:r>
      <w:proofErr w:type="spellEnd"/>
      <w:r>
        <w:rPr>
          <w:rFonts w:ascii="TH SarabunPSK" w:eastAsiaTheme="minorEastAsia" w:hAnsi="TH SarabunPSK" w:cs="TH SarabunPSK" w:hint="eastAsia"/>
          <w:kern w:val="0"/>
          <w:sz w:val="28"/>
          <w:szCs w:val="28"/>
          <w:lang w:eastAsia="en-US" w:bidi="th-TH"/>
        </w:rPr>
        <w:t xml:space="preserve"> (2024) argue that economic fluctuations and industrial restructuring have reduced overall job demand, while enterprises continue to seek high-level and spe</w:t>
      </w:r>
      <w:r>
        <w:rPr>
          <w:rFonts w:ascii="TH SarabunPSK" w:eastAsiaTheme="minorEastAsia" w:hAnsi="TH SarabunPSK" w:cs="TH SarabunPSK" w:hint="eastAsia"/>
          <w:kern w:val="0"/>
          <w:sz w:val="28"/>
          <w:szCs w:val="28"/>
          <w:lang w:eastAsia="en-US" w:bidi="th-TH"/>
        </w:rPr>
        <w:t>cialized talents, resulting in a clear supply</w:t>
      </w:r>
      <w:r>
        <w:rPr>
          <w:rFonts w:ascii="TH SarabunPSK" w:eastAsiaTheme="minorEastAsia" w:hAnsi="TH SarabunPSK" w:cs="TH SarabunPSK" w:hint="eastAsia"/>
          <w:kern w:val="0"/>
          <w:sz w:val="28"/>
          <w:szCs w:val="28"/>
          <w:lang w:eastAsia="en-US" w:bidi="th-TH"/>
        </w:rPr>
        <w:t>–</w:t>
      </w:r>
      <w:r>
        <w:rPr>
          <w:rFonts w:ascii="TH SarabunPSK" w:eastAsiaTheme="minorEastAsia" w:hAnsi="TH SarabunPSK" w:cs="TH SarabunPSK" w:hint="eastAsia"/>
          <w:kern w:val="0"/>
          <w:sz w:val="28"/>
          <w:szCs w:val="28"/>
          <w:lang w:eastAsia="en-US" w:bidi="th-TH"/>
        </w:rPr>
        <w:t xml:space="preserve">demand mismatch. Career guidance services are therefore essential. However, Wang </w:t>
      </w:r>
      <w:proofErr w:type="spellStart"/>
      <w:r>
        <w:rPr>
          <w:rFonts w:ascii="TH SarabunPSK" w:eastAsiaTheme="minorEastAsia" w:hAnsi="TH SarabunPSK" w:cs="TH SarabunPSK" w:hint="eastAsia"/>
          <w:kern w:val="0"/>
          <w:sz w:val="28"/>
          <w:szCs w:val="28"/>
          <w:lang w:eastAsia="en-US" w:bidi="th-TH"/>
        </w:rPr>
        <w:t>Yazeng</w:t>
      </w:r>
      <w:proofErr w:type="spellEnd"/>
      <w:r>
        <w:rPr>
          <w:rFonts w:ascii="TH SarabunPSK" w:eastAsiaTheme="minorEastAsia" w:hAnsi="TH SarabunPSK" w:cs="TH SarabunPSK" w:hint="eastAsia"/>
          <w:kern w:val="0"/>
          <w:sz w:val="28"/>
          <w:szCs w:val="28"/>
          <w:lang w:eastAsia="en-US" w:bidi="th-TH"/>
        </w:rPr>
        <w:t xml:space="preserve"> (2022) found that many college graduates show passive employment attitudes and low satisfaction with university career gui</w:t>
      </w:r>
      <w:r>
        <w:rPr>
          <w:rFonts w:ascii="TH SarabunPSK" w:eastAsiaTheme="minorEastAsia" w:hAnsi="TH SarabunPSK" w:cs="TH SarabunPSK" w:hint="eastAsia"/>
          <w:kern w:val="0"/>
          <w:sz w:val="28"/>
          <w:szCs w:val="28"/>
          <w:lang w:eastAsia="en-US" w:bidi="th-TH"/>
        </w:rPr>
        <w:t>dance, highlighting the need to improve service quality from a student satisfaction perspective.</w:t>
      </w:r>
    </w:p>
    <w:p w14:paraId="785B018D" w14:textId="77777777" w:rsidR="0052000D" w:rsidRPr="004E102C" w:rsidRDefault="00545001" w:rsidP="00A65D11">
      <w:pPr>
        <w:widowControl/>
        <w:spacing w:after="200"/>
        <w:jc w:val="left"/>
        <w:rPr>
          <w:rFonts w:ascii="TH SarabunPSK" w:eastAsiaTheme="minorEastAsia" w:hAnsi="TH SarabunPSK" w:cs="TH SarabunPSK"/>
          <w:b/>
          <w:bCs/>
          <w:kern w:val="0"/>
          <w:sz w:val="32"/>
          <w:szCs w:val="32"/>
          <w:lang w:bidi="th-TH"/>
        </w:rPr>
      </w:pPr>
      <w:r w:rsidRPr="004E102C">
        <w:rPr>
          <w:rFonts w:ascii="TH SarabunPSK" w:eastAsiaTheme="minorEastAsia" w:hAnsi="TH SarabunPSK" w:cs="TH SarabunPSK" w:hint="eastAsia"/>
          <w:b/>
          <w:bCs/>
          <w:kern w:val="0"/>
          <w:sz w:val="32"/>
          <w:szCs w:val="32"/>
          <w:lang w:bidi="th-TH"/>
        </w:rPr>
        <w:t>Research objectives</w:t>
      </w:r>
    </w:p>
    <w:p w14:paraId="56576D6A" w14:textId="77777777" w:rsidR="0052000D" w:rsidRPr="004E102C" w:rsidRDefault="00545001" w:rsidP="00A65D11">
      <w:pPr>
        <w:widowControl/>
        <w:spacing w:after="200"/>
        <w:ind w:firstLineChars="300" w:firstLine="840"/>
        <w:jc w:val="left"/>
        <w:rPr>
          <w:rFonts w:ascii="TH SarabunPSK" w:hAnsi="TH SarabunPSK" w:cs="TH SarabunPSK"/>
          <w:sz w:val="28"/>
          <w:szCs w:val="28"/>
        </w:rPr>
      </w:pPr>
      <w:r w:rsidRPr="004E102C">
        <w:rPr>
          <w:rFonts w:ascii="TH SarabunPSK" w:hAnsi="TH SarabunPSK" w:cs="TH SarabunPSK"/>
          <w:sz w:val="28"/>
          <w:szCs w:val="28"/>
        </w:rPr>
        <w:t>This study aims to investigate effects of perceived quality, perceived value and student expectation on student satisfactions toward colleg</w:t>
      </w:r>
      <w:r w:rsidRPr="004E102C">
        <w:rPr>
          <w:rFonts w:ascii="TH SarabunPSK" w:hAnsi="TH SarabunPSK" w:cs="TH SarabunPSK"/>
          <w:sz w:val="28"/>
          <w:szCs w:val="28"/>
        </w:rPr>
        <w:t>e career guidance content, employment services provided by university, and college employment information services</w:t>
      </w:r>
    </w:p>
    <w:p w14:paraId="730D6AA0" w14:textId="77777777" w:rsidR="0052000D" w:rsidRDefault="00545001" w:rsidP="00A65D11">
      <w:pPr>
        <w:pStyle w:val="a6"/>
        <w:widowControl/>
        <w:ind w:left="360" w:hanging="360"/>
        <w:rPr>
          <w:rFonts w:ascii="TH SarabunPSK" w:eastAsiaTheme="minorEastAsia" w:hAnsi="TH SarabunPSK" w:cs="TH SarabunPSK"/>
          <w:b/>
          <w:kern w:val="0"/>
          <w:sz w:val="32"/>
          <w:szCs w:val="32"/>
          <w:lang w:eastAsia="en-US" w:bidi="th-TH"/>
        </w:rPr>
      </w:pPr>
      <w:r>
        <w:rPr>
          <w:rFonts w:ascii="TH SarabunPSK" w:eastAsiaTheme="minorEastAsia" w:hAnsi="TH SarabunPSK" w:cs="TH SarabunPSK" w:hint="eastAsia"/>
          <w:b/>
          <w:kern w:val="0"/>
          <w:sz w:val="32"/>
          <w:szCs w:val="32"/>
          <w:lang w:eastAsia="en-US" w:bidi="th-TH"/>
        </w:rPr>
        <w:t>Literature review</w:t>
      </w:r>
    </w:p>
    <w:p w14:paraId="64C06446" w14:textId="77777777" w:rsidR="0052000D" w:rsidRDefault="00545001" w:rsidP="00A65D11">
      <w:pPr>
        <w:widowControl/>
        <w:tabs>
          <w:tab w:val="left" w:pos="2430"/>
        </w:tabs>
        <w:ind w:firstLine="360"/>
        <w:jc w:val="left"/>
        <w:rPr>
          <w:rFonts w:ascii="TH SarabunPSK" w:eastAsiaTheme="minorEastAsia" w:hAnsi="TH SarabunPSK" w:cs="TH SarabunPSK"/>
          <w:b/>
          <w:kern w:val="0"/>
          <w:sz w:val="28"/>
          <w:szCs w:val="28"/>
          <w:lang w:bidi="th-TH"/>
        </w:rPr>
      </w:pPr>
      <w:r>
        <w:rPr>
          <w:rFonts w:ascii="TH SarabunPSK" w:eastAsiaTheme="minorEastAsia" w:hAnsi="TH SarabunPSK" w:cs="TH SarabunPSK"/>
          <w:b/>
          <w:kern w:val="0"/>
          <w:sz w:val="28"/>
          <w:szCs w:val="28"/>
          <w:lang w:bidi="th-TH"/>
        </w:rPr>
        <w:t>Customer Satisfaction Theory</w:t>
      </w:r>
    </w:p>
    <w:p w14:paraId="43D3BDDA" w14:textId="77777777" w:rsidR="0052000D" w:rsidRDefault="00545001" w:rsidP="00A65D11">
      <w:pPr>
        <w:widowControl/>
        <w:tabs>
          <w:tab w:val="left" w:pos="2430"/>
        </w:tabs>
        <w:ind w:leftChars="-200" w:left="-420" w:firstLineChars="313" w:firstLine="876"/>
        <w:rPr>
          <w:rFonts w:ascii="TH SarabunPSK" w:eastAsiaTheme="minorEastAsia" w:hAnsi="TH SarabunPSK" w:cs="TH SarabunPSK"/>
          <w:bCs/>
          <w:kern w:val="0"/>
          <w:sz w:val="28"/>
          <w:szCs w:val="28"/>
          <w:lang w:bidi="th-TH"/>
        </w:rPr>
      </w:pPr>
      <w:r>
        <w:rPr>
          <w:rFonts w:ascii="TH SarabunPSK" w:eastAsiaTheme="minorEastAsia" w:hAnsi="TH SarabunPSK" w:cs="TH SarabunPSK"/>
          <w:bCs/>
          <w:kern w:val="0"/>
          <w:sz w:val="28"/>
          <w:szCs w:val="28"/>
          <w:lang w:bidi="th-TH"/>
        </w:rPr>
        <w:t xml:space="preserve">Customer satisfaction theory originated in marketing and has been widely applied to service evaluation, including higher education. Scholars define satisfaction either as an emotional response to </w:t>
      </w:r>
      <w:r>
        <w:rPr>
          <w:rFonts w:ascii="TH SarabunPSK" w:eastAsiaTheme="minorEastAsia" w:hAnsi="TH SarabunPSK" w:cs="TH SarabunPSK"/>
          <w:bCs/>
          <w:kern w:val="0"/>
          <w:sz w:val="28"/>
          <w:szCs w:val="28"/>
          <w:lang w:bidi="th-TH"/>
        </w:rPr>
        <w:lastRenderedPageBreak/>
        <w:t>service experiences (Westbrook et al., 1983) or as a cogniti</w:t>
      </w:r>
      <w:r>
        <w:rPr>
          <w:rFonts w:ascii="TH SarabunPSK" w:eastAsiaTheme="minorEastAsia" w:hAnsi="TH SarabunPSK" w:cs="TH SarabunPSK"/>
          <w:bCs/>
          <w:kern w:val="0"/>
          <w:sz w:val="28"/>
          <w:szCs w:val="28"/>
          <w:lang w:bidi="th-TH"/>
        </w:rPr>
        <w:t>ve evaluation based on comparisons between expected and perceived performance (Oliver, 1995). In educational contexts, this theory helps assess students’ evaluations of service quality and effectiveness.</w:t>
      </w:r>
    </w:p>
    <w:p w14:paraId="2D2727AB" w14:textId="77777777" w:rsidR="0052000D" w:rsidRDefault="00545001" w:rsidP="00A65D11">
      <w:pPr>
        <w:widowControl/>
        <w:tabs>
          <w:tab w:val="left" w:pos="2430"/>
        </w:tabs>
        <w:ind w:leftChars="-200" w:left="-420" w:firstLineChars="313" w:firstLine="876"/>
        <w:rPr>
          <w:rFonts w:ascii="TH SarabunPSK" w:eastAsiaTheme="minorEastAsia" w:hAnsi="TH SarabunPSK" w:cs="TH SarabunPSK"/>
          <w:bCs/>
          <w:kern w:val="0"/>
          <w:sz w:val="28"/>
          <w:szCs w:val="28"/>
          <w:lang w:bidi="th-TH"/>
        </w:rPr>
      </w:pPr>
      <w:r>
        <w:rPr>
          <w:rFonts w:ascii="TH SarabunPSK" w:eastAsiaTheme="minorEastAsia" w:hAnsi="TH SarabunPSK" w:cs="TH SarabunPSK"/>
          <w:bCs/>
          <w:kern w:val="0"/>
          <w:sz w:val="28"/>
          <w:szCs w:val="28"/>
          <w:lang w:bidi="th-TH"/>
        </w:rPr>
        <w:t>The American Customer Satisfaction Index (ACSI) mode</w:t>
      </w:r>
      <w:r>
        <w:rPr>
          <w:rFonts w:ascii="TH SarabunPSK" w:eastAsiaTheme="minorEastAsia" w:hAnsi="TH SarabunPSK" w:cs="TH SarabunPSK"/>
          <w:bCs/>
          <w:kern w:val="0"/>
          <w:sz w:val="28"/>
          <w:szCs w:val="28"/>
          <w:lang w:bidi="th-TH"/>
        </w:rPr>
        <w:t>l proposed by Fornell et al. (1996) explains satisfaction formation through customer expectations, perceived quality, perceived value, and satisfaction. Compared with other models, ACSI emphasizes perceived quality and perceived value as key antecedents of</w:t>
      </w:r>
      <w:r>
        <w:rPr>
          <w:rFonts w:ascii="TH SarabunPSK" w:eastAsiaTheme="minorEastAsia" w:hAnsi="TH SarabunPSK" w:cs="TH SarabunPSK"/>
          <w:bCs/>
          <w:kern w:val="0"/>
          <w:sz w:val="28"/>
          <w:szCs w:val="28"/>
          <w:lang w:bidi="th-TH"/>
        </w:rPr>
        <w:t xml:space="preserve"> satisfaction, making it suitable for evaluating college career guidance services (Wu, 2020). Due to differences between education and commercial consumption, this study adopts an adapted ACSI framework, excluding customer complaints and loyalty variables.</w:t>
      </w:r>
    </w:p>
    <w:p w14:paraId="52298BEF" w14:textId="77777777" w:rsidR="0052000D" w:rsidRDefault="00545001" w:rsidP="00A65D11">
      <w:pPr>
        <w:widowControl/>
        <w:tabs>
          <w:tab w:val="left" w:pos="2430"/>
        </w:tabs>
        <w:ind w:leftChars="-200" w:left="-420" w:firstLineChars="313" w:firstLine="876"/>
        <w:rPr>
          <w:rFonts w:ascii="TH SarabunPSK" w:eastAsiaTheme="minorEastAsia" w:hAnsi="TH SarabunPSK" w:cs="TH SarabunPSK"/>
          <w:bCs/>
          <w:kern w:val="0"/>
          <w:sz w:val="28"/>
          <w:szCs w:val="28"/>
          <w:lang w:bidi="th-TH"/>
        </w:rPr>
      </w:pPr>
      <w:r>
        <w:rPr>
          <w:rFonts w:ascii="TH SarabunPSK" w:eastAsiaTheme="minorEastAsia" w:hAnsi="TH SarabunPSK" w:cs="TH SarabunPSK"/>
          <w:bCs/>
          <w:kern w:val="0"/>
          <w:sz w:val="28"/>
          <w:szCs w:val="28"/>
          <w:lang w:bidi="th-TH"/>
        </w:rPr>
        <w:t>Perceived quality reflects students’ evaluations of service professionalism and effectiveness (Oliver, 1980; Zeithaml, 1988), while perceived value refers to the balance between benefits gained and time or effort invested (Zeithaml, 1988; Woodruff, 1997).</w:t>
      </w:r>
      <w:r>
        <w:rPr>
          <w:rFonts w:ascii="TH SarabunPSK" w:eastAsiaTheme="minorEastAsia" w:hAnsi="TH SarabunPSK" w:cs="TH SarabunPSK"/>
          <w:bCs/>
          <w:kern w:val="0"/>
          <w:sz w:val="28"/>
          <w:szCs w:val="28"/>
          <w:lang w:bidi="th-TH"/>
        </w:rPr>
        <w:t xml:space="preserve"> Customer expectations provide the reference standard for satisfaction judgments (Oliver, 1980). These variables jointly form the theoretical basis for analyzing student satisfaction with university career guidance services.</w:t>
      </w:r>
    </w:p>
    <w:p w14:paraId="1EEA2E3C" w14:textId="77777777" w:rsidR="0052000D" w:rsidRPr="004E102C" w:rsidRDefault="00545001" w:rsidP="00A65D11">
      <w:pPr>
        <w:widowControl/>
        <w:tabs>
          <w:tab w:val="left" w:pos="2430"/>
        </w:tabs>
        <w:ind w:firstLine="360"/>
        <w:jc w:val="left"/>
        <w:rPr>
          <w:rFonts w:ascii="TH SarabunPSK" w:eastAsiaTheme="minorEastAsia" w:hAnsi="TH SarabunPSK" w:cs="TH SarabunPSK"/>
          <w:b/>
          <w:kern w:val="0"/>
          <w:sz w:val="28"/>
          <w:szCs w:val="28"/>
          <w:lang w:bidi="th-TH"/>
        </w:rPr>
      </w:pPr>
      <w:r w:rsidRPr="004E102C">
        <w:rPr>
          <w:rFonts w:ascii="TH SarabunPSK" w:eastAsiaTheme="minorEastAsia" w:hAnsi="TH SarabunPSK" w:cs="TH SarabunPSK"/>
          <w:b/>
          <w:kern w:val="0"/>
          <w:sz w:val="28"/>
          <w:szCs w:val="28"/>
          <w:lang w:bidi="th-TH"/>
        </w:rPr>
        <w:t>Summary of Related Research</w:t>
      </w:r>
    </w:p>
    <w:p w14:paraId="18FC888B" w14:textId="77777777" w:rsidR="0052000D" w:rsidRPr="004E102C" w:rsidRDefault="00545001" w:rsidP="00A65D11">
      <w:pPr>
        <w:ind w:firstLineChars="400" w:firstLine="1120"/>
        <w:outlineLvl w:val="1"/>
        <w:rPr>
          <w:rFonts w:ascii="TH SarabunPSK" w:hAnsi="TH SarabunPSK" w:cs="TH SarabunPSK"/>
          <w:sz w:val="28"/>
          <w:szCs w:val="28"/>
        </w:rPr>
      </w:pPr>
      <w:r w:rsidRPr="004E102C">
        <w:rPr>
          <w:rFonts w:ascii="TH SarabunPSK" w:hAnsi="TH SarabunPSK" w:cs="TH SarabunPSK"/>
          <w:sz w:val="28"/>
          <w:szCs w:val="28"/>
        </w:rPr>
        <w:t xml:space="preserve">As </w:t>
      </w:r>
      <w:r w:rsidRPr="004E102C">
        <w:rPr>
          <w:rFonts w:ascii="TH SarabunPSK" w:hAnsi="TH SarabunPSK" w:cs="TH SarabunPSK"/>
          <w:sz w:val="28"/>
          <w:szCs w:val="28"/>
        </w:rPr>
        <w:t>an important indicator of higher education quality, satisfaction with college employment guidance services has attracted increasing scholarly attention. Existing studies mainly focus on satisfaction measurement and influencing factors, particularly under t</w:t>
      </w:r>
      <w:r w:rsidRPr="004E102C">
        <w:rPr>
          <w:rFonts w:ascii="TH SarabunPSK" w:hAnsi="TH SarabunPSK" w:cs="TH SarabunPSK"/>
          <w:sz w:val="28"/>
          <w:szCs w:val="28"/>
        </w:rPr>
        <w:t>he “online + offline” service model widely adopted by Chinese universities since 2020. Research based on the American Customer Satisfaction Index (ACSI) model shows that perceived quality and perceived value are the core determinants of student satisfactio</w:t>
      </w:r>
      <w:r w:rsidRPr="004E102C">
        <w:rPr>
          <w:rFonts w:ascii="TH SarabunPSK" w:hAnsi="TH SarabunPSK" w:cs="TH SarabunPSK"/>
          <w:sz w:val="28"/>
          <w:szCs w:val="28"/>
        </w:rPr>
        <w:t>n.</w:t>
      </w:r>
    </w:p>
    <w:p w14:paraId="2B0F00AF" w14:textId="77777777" w:rsidR="0052000D" w:rsidRPr="004E102C" w:rsidRDefault="00545001" w:rsidP="00A65D11">
      <w:pPr>
        <w:ind w:firstLineChars="400" w:firstLine="1120"/>
        <w:outlineLvl w:val="1"/>
        <w:rPr>
          <w:rFonts w:ascii="TH SarabunPSK" w:hAnsi="TH SarabunPSK" w:cs="TH SarabunPSK"/>
          <w:sz w:val="28"/>
          <w:szCs w:val="28"/>
        </w:rPr>
      </w:pPr>
      <w:r w:rsidRPr="004E102C">
        <w:rPr>
          <w:rFonts w:ascii="TH SarabunPSK" w:hAnsi="TH SarabunPSK" w:cs="TH SarabunPSK"/>
          <w:sz w:val="28"/>
          <w:szCs w:val="28"/>
        </w:rPr>
        <w:t xml:space="preserve">Zhang </w:t>
      </w:r>
      <w:proofErr w:type="spellStart"/>
      <w:r w:rsidRPr="004E102C">
        <w:rPr>
          <w:rFonts w:ascii="TH SarabunPSK" w:hAnsi="TH SarabunPSK" w:cs="TH SarabunPSK"/>
          <w:sz w:val="28"/>
          <w:szCs w:val="28"/>
        </w:rPr>
        <w:t>Qingxiao</w:t>
      </w:r>
      <w:proofErr w:type="spellEnd"/>
      <w:r w:rsidRPr="004E102C">
        <w:rPr>
          <w:rFonts w:ascii="TH SarabunPSK" w:hAnsi="TH SarabunPSK" w:cs="TH SarabunPSK"/>
          <w:sz w:val="28"/>
          <w:szCs w:val="28"/>
        </w:rPr>
        <w:t xml:space="preserve"> and Zhang Zhihua (2018) found that perceived service quality has a significant positive effect on both perceived value and satisfaction, suggesting that employment guidance should shift from short-term job assistance to full-cycle career </w:t>
      </w:r>
      <w:r w:rsidRPr="004E102C">
        <w:rPr>
          <w:rFonts w:ascii="TH SarabunPSK" w:hAnsi="TH SarabunPSK" w:cs="TH SarabunPSK"/>
          <w:sz w:val="28"/>
          <w:szCs w:val="28"/>
        </w:rPr>
        <w:t xml:space="preserve">education beginning at university entry. Du </w:t>
      </w:r>
      <w:proofErr w:type="spellStart"/>
      <w:r w:rsidRPr="004E102C">
        <w:rPr>
          <w:rFonts w:ascii="TH SarabunPSK" w:hAnsi="TH SarabunPSK" w:cs="TH SarabunPSK"/>
          <w:sz w:val="28"/>
          <w:szCs w:val="28"/>
        </w:rPr>
        <w:t>Xiaobin</w:t>
      </w:r>
      <w:proofErr w:type="spellEnd"/>
      <w:r w:rsidRPr="004E102C">
        <w:rPr>
          <w:rFonts w:ascii="TH SarabunPSK" w:hAnsi="TH SarabunPSK" w:cs="TH SarabunPSK"/>
          <w:sz w:val="28"/>
          <w:szCs w:val="28"/>
        </w:rPr>
        <w:t xml:space="preserve"> et al. (2021) further confirmed through path analysis that perceived quality and perceived value directly enhance student satisfaction. Using IPA analysis, Chen Ju (2024) demonstrated that accurately iden</w:t>
      </w:r>
      <w:r w:rsidRPr="004E102C">
        <w:rPr>
          <w:rFonts w:ascii="TH SarabunPSK" w:hAnsi="TH SarabunPSK" w:cs="TH SarabunPSK"/>
          <w:sz w:val="28"/>
          <w:szCs w:val="28"/>
        </w:rPr>
        <w:t xml:space="preserve">tifying student needs across guidance courses, labor market development, policy consultation, and employment assistance is crucial for improving service effectiveness. In addition, Liao </w:t>
      </w:r>
      <w:proofErr w:type="spellStart"/>
      <w:r w:rsidRPr="004E102C">
        <w:rPr>
          <w:rFonts w:ascii="TH SarabunPSK" w:hAnsi="TH SarabunPSK" w:cs="TH SarabunPSK"/>
          <w:sz w:val="28"/>
          <w:szCs w:val="28"/>
        </w:rPr>
        <w:t>Shijia</w:t>
      </w:r>
      <w:proofErr w:type="spellEnd"/>
      <w:r w:rsidRPr="004E102C">
        <w:rPr>
          <w:rFonts w:ascii="TH SarabunPSK" w:hAnsi="TH SarabunPSK" w:cs="TH SarabunPSK"/>
          <w:sz w:val="28"/>
          <w:szCs w:val="28"/>
        </w:rPr>
        <w:t xml:space="preserve"> (2022) and Zheng Linhong and Liu Qifeng (2022) highlighted the </w:t>
      </w:r>
      <w:r w:rsidRPr="004E102C">
        <w:rPr>
          <w:rFonts w:ascii="TH SarabunPSK" w:hAnsi="TH SarabunPSK" w:cs="TH SarabunPSK"/>
          <w:sz w:val="28"/>
          <w:szCs w:val="28"/>
        </w:rPr>
        <w:t>importance of diversified guidance methods, professional teaching staff, and sound service guarantee systems.</w:t>
      </w:r>
    </w:p>
    <w:p w14:paraId="7999F849" w14:textId="77777777" w:rsidR="0052000D" w:rsidRPr="004E102C" w:rsidRDefault="00545001" w:rsidP="00A65D11">
      <w:pPr>
        <w:ind w:firstLineChars="400" w:firstLine="1120"/>
        <w:outlineLvl w:val="1"/>
        <w:rPr>
          <w:rFonts w:ascii="TH SarabunPSK" w:hAnsi="TH SarabunPSK" w:cs="TH SarabunPSK"/>
          <w:sz w:val="28"/>
          <w:szCs w:val="28"/>
        </w:rPr>
      </w:pPr>
      <w:r w:rsidRPr="004E102C">
        <w:rPr>
          <w:rFonts w:ascii="TH SarabunPSK" w:hAnsi="TH SarabunPSK" w:cs="TH SarabunPSK"/>
          <w:sz w:val="28"/>
          <w:szCs w:val="28"/>
        </w:rPr>
        <w:t>Overall, existing research indicates that improving service quality, personalization, and systemic support is essential for enhancing students’ sa</w:t>
      </w:r>
      <w:r w:rsidRPr="004E102C">
        <w:rPr>
          <w:rFonts w:ascii="TH SarabunPSK" w:hAnsi="TH SarabunPSK" w:cs="TH SarabunPSK"/>
          <w:sz w:val="28"/>
          <w:szCs w:val="28"/>
        </w:rPr>
        <w:t>tisfaction with college employment guidance services.</w:t>
      </w:r>
    </w:p>
    <w:p w14:paraId="22D709FF" w14:textId="77777777" w:rsidR="0052000D" w:rsidRDefault="00545001" w:rsidP="00A65D11">
      <w:pPr>
        <w:pStyle w:val="2"/>
        <w:widowControl/>
        <w:spacing w:before="0"/>
        <w:rPr>
          <w:sz w:val="28"/>
          <w:szCs w:val="28"/>
        </w:rPr>
      </w:pPr>
      <w:r>
        <w:rPr>
          <w:rFonts w:ascii="TH SarabunPSK" w:hAnsi="TH SarabunPSK" w:cs="TH SarabunPSK"/>
          <w:spacing w:val="-6"/>
          <w:kern w:val="0"/>
          <w:sz w:val="32"/>
          <w:szCs w:val="32"/>
          <w:lang w:bidi="th-TH"/>
        </w:rPr>
        <w:t>Research Framework</w:t>
      </w:r>
    </w:p>
    <w:p w14:paraId="2EA750AF" w14:textId="1F0A1252" w:rsidR="0052000D" w:rsidRDefault="004E102C" w:rsidP="00A65D11">
      <w:pPr>
        <w:rPr>
          <w:sz w:val="24"/>
        </w:rPr>
      </w:pPr>
      <w:r>
        <w:rPr>
          <w:rFonts w:hint="eastAsia"/>
          <w:noProof/>
          <w:sz w:val="24"/>
        </w:rPr>
        <mc:AlternateContent>
          <mc:Choice Requires="wpg">
            <w:drawing>
              <wp:anchor distT="0" distB="0" distL="114300" distR="114300" simplePos="0" relativeHeight="251666432" behindDoc="0" locked="0" layoutInCell="1" allowOverlap="1" wp14:anchorId="606D99D8" wp14:editId="6FC3D6C7">
                <wp:simplePos x="0" y="0"/>
                <wp:positionH relativeFrom="column">
                  <wp:posOffset>0</wp:posOffset>
                </wp:positionH>
                <wp:positionV relativeFrom="paragraph">
                  <wp:posOffset>163830</wp:posOffset>
                </wp:positionV>
                <wp:extent cx="5829935" cy="2115820"/>
                <wp:effectExtent l="0" t="0" r="18415" b="17780"/>
                <wp:wrapNone/>
                <wp:docPr id="1790680232" name="Group 9"/>
                <wp:cNvGraphicFramePr/>
                <a:graphic xmlns:a="http://schemas.openxmlformats.org/drawingml/2006/main">
                  <a:graphicData uri="http://schemas.microsoft.com/office/word/2010/wordprocessingGroup">
                    <wpg:wgp>
                      <wpg:cNvGrpSpPr/>
                      <wpg:grpSpPr>
                        <a:xfrm>
                          <a:off x="0" y="0"/>
                          <a:ext cx="5829935" cy="2115820"/>
                          <a:chOff x="0" y="0"/>
                          <a:chExt cx="5829935" cy="2115820"/>
                        </a:xfrm>
                      </wpg:grpSpPr>
                      <wps:wsp>
                        <wps:cNvPr id="562114680" name="文本框 13"/>
                        <wps:cNvSpPr txBox="1"/>
                        <wps:spPr>
                          <a:xfrm>
                            <a:off x="0" y="0"/>
                            <a:ext cx="1867535"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9EF2CA"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Perceived Quality</w:t>
                              </w:r>
                            </w:p>
                          </w:txbxContent>
                        </wps:txbx>
                        <wps:bodyPr wrap="square" upright="1">
                          <a:noAutofit/>
                        </wps:bodyPr>
                      </wps:wsp>
                      <wps:wsp>
                        <wps:cNvPr id="1958958748" name="文本框 12"/>
                        <wps:cNvSpPr txBox="1"/>
                        <wps:spPr>
                          <a:xfrm>
                            <a:off x="0" y="806450"/>
                            <a:ext cx="1873885" cy="50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98A538"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Perceived Value</w:t>
                              </w:r>
                            </w:p>
                          </w:txbxContent>
                        </wps:txbx>
                        <wps:bodyPr wrap="square" upright="1">
                          <a:noAutofit/>
                        </wps:bodyPr>
                      </wps:wsp>
                      <wps:wsp>
                        <wps:cNvPr id="1400522226" name="文本框 11"/>
                        <wps:cNvSpPr txBox="1"/>
                        <wps:spPr>
                          <a:xfrm>
                            <a:off x="12700" y="1574800"/>
                            <a:ext cx="1924685" cy="541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F48804"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Customer expectations</w:t>
                              </w:r>
                            </w:p>
                          </w:txbxContent>
                        </wps:txbx>
                        <wps:bodyPr upright="1">
                          <a:noAutofit/>
                        </wps:bodyPr>
                      </wps:wsp>
                      <wps:wsp>
                        <wps:cNvPr id="1271543363" name="文本框 7"/>
                        <wps:cNvSpPr txBox="1"/>
                        <wps:spPr>
                          <a:xfrm>
                            <a:off x="3251200" y="450850"/>
                            <a:ext cx="2578735" cy="947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21F8B8"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Student satisfaction with college career guidance services</w:t>
                              </w:r>
                            </w:p>
                            <w:p w14:paraId="004F7FE4" w14:textId="77777777" w:rsidR="0052000D" w:rsidRPr="004E102C" w:rsidRDefault="0052000D">
                              <w:pPr>
                                <w:spacing w:line="360" w:lineRule="auto"/>
                                <w:rPr>
                                  <w:sz w:val="24"/>
                                </w:rPr>
                              </w:pPr>
                            </w:p>
                          </w:txbxContent>
                        </wps:txbx>
                        <wps:bodyPr upright="1">
                          <a:noAutofit/>
                        </wps:bodyPr>
                      </wps:wsp>
                      <wps:wsp>
                        <wps:cNvPr id="1370550329" name="直接连接符 10"/>
                        <wps:cNvCnPr/>
                        <wps:spPr>
                          <a:xfrm>
                            <a:off x="1866900" y="133350"/>
                            <a:ext cx="1390650" cy="815340"/>
                          </a:xfrm>
                          <a:prstGeom prst="line">
                            <a:avLst/>
                          </a:prstGeom>
                          <a:ln w="9525" cap="flat" cmpd="sng">
                            <a:solidFill>
                              <a:srgbClr val="000000"/>
                            </a:solidFill>
                            <a:prstDash val="solid"/>
                            <a:headEnd type="none" w="med" len="med"/>
                            <a:tailEnd type="arrow" w="med" len="med"/>
                          </a:ln>
                        </wps:spPr>
                        <wps:bodyPr/>
                      </wps:wsp>
                      <wps:wsp>
                        <wps:cNvPr id="1428396776" name="直接连接符 9"/>
                        <wps:cNvCnPr/>
                        <wps:spPr>
                          <a:xfrm flipV="1">
                            <a:off x="1873250" y="996950"/>
                            <a:ext cx="1387475" cy="68580"/>
                          </a:xfrm>
                          <a:prstGeom prst="line">
                            <a:avLst/>
                          </a:prstGeom>
                          <a:ln w="9525" cap="flat" cmpd="sng">
                            <a:solidFill>
                              <a:srgbClr val="000000"/>
                            </a:solidFill>
                            <a:prstDash val="solid"/>
                            <a:headEnd type="none" w="med" len="med"/>
                            <a:tailEnd type="arrow" w="med" len="med"/>
                          </a:ln>
                        </wps:spPr>
                        <wps:bodyPr/>
                      </wps:wsp>
                      <wps:wsp>
                        <wps:cNvPr id="1742186110" name="直接连接符 8"/>
                        <wps:cNvCnPr/>
                        <wps:spPr>
                          <a:xfrm flipV="1">
                            <a:off x="1911350" y="1047750"/>
                            <a:ext cx="1342390" cy="806450"/>
                          </a:xfrm>
                          <a:prstGeom prst="line">
                            <a:avLst/>
                          </a:prstGeom>
                          <a:ln w="9525" cap="flat" cmpd="sng">
                            <a:solidFill>
                              <a:srgbClr val="000000"/>
                            </a:solidFill>
                            <a:prstDash val="solid"/>
                            <a:headEnd type="none" w="med" len="med"/>
                            <a:tailEnd type="arrow" w="med" len="med"/>
                          </a:ln>
                        </wps:spPr>
                        <wps:bodyPr/>
                      </wps:wsp>
                    </wpg:wgp>
                  </a:graphicData>
                </a:graphic>
              </wp:anchor>
            </w:drawing>
          </mc:Choice>
          <mc:Fallback>
            <w:pict>
              <v:group w14:anchorId="606D99D8" id="Group 9" o:spid="_x0000_s1027" style="position:absolute;left:0;text-align:left;margin-left:0;margin-top:12.9pt;width:459.05pt;height:166.6pt;z-index:251666432" coordsize="58299,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z0+wMAAFoTAAAOAAAAZHJzL2Uyb0RvYy54bWzsWMtu3DYU3RfoPxDa1xKpt+Bx0MaxN0UT&#10;IG32tEQ9AElkSY41/oF212U3DQp00a6y7L5/4+Qzekk97MyM28SFAxeYgSFLFHXJe+7h4ZGOn2y6&#10;Fl0yqRrerxx85DmI9Tkvmr5aOd99e/ZF4iClaV/Qlvds5Vwx5Tw5+fyz40FkjPCatwWTCIL0KhvE&#10;yqm1FpnrqrxmHVVHXLAebpZcdlTDpazcQtIBonetSzwvcgcuCyF5zpSC1tPxpnNi45cly/XzslRM&#10;o3blwNy0PUp7vDBH9+SYZpWkom7yaRr0HrPoaNPDoEuoU6opWstmJ1TX5JIrXuqjnHcuL8smZzYH&#10;yAZ7W9mcS74WNpcqGyqxwATQbuF077D5N5cvJGoKqF2celHiEZ84qKcd1MoOj1KD0SCqDLqeS/FS&#10;vJBTQzVembQ3pezMf0gIbSy6Vwu6bKNRDo1hQtLUDx2Uwz2CMVxP+Oc1FGnnubx+9i9PuvPArpnf&#10;Mp1BAJfUDVzqv8H1sqaC2Soog8EEVxhBCgEANqN1/fOP16/fXP/2A8L+CJntbvBCevMVBwTw3K6g&#10;8UNhw0kUhzNsoe8HnkVtyZ1mQip9zniHzMnKkUB6y0V6+bXSUCvoOncxgyreNsVZ07b2QlYXT1uJ&#10;LikskDP7M5OER97r1vZoWDlpSEz5KKzTsqUaTjsBzFF9Zcd77wl1O7Bnf/sCm4mdUlWPE7ARTDea&#10;dY1m0p7VjBbP+gLpKwGk7EFGHDOZjhUOahmojjmzPTVt2g/pCdm1PSRpiDKWwpzpzcVmXAkmmmm5&#10;4MUVVG8AeYAsv19TCUOvhWyqGnDGNumef7nWvGws0DcPTdGBhmOoB+cjTsME/uIABHdcvrcISeaM&#10;gL8fT8jEi4JwWqrzYsZJ7CfJtJhDD0djhwMrH4yVSw3/V6wEtQoJ/KI9rFzk8CNZiUkMGohgF8Eh&#10;8H3UQ5ot1EwJ6PJMzQB74zZzoOaDUXPZ7yZqPlaJJDEOA9+P/F0yxvdUSJ+EGHyoZSOIZLKtkySM&#10;QSknMqZBHBzI+MC7dzBX8pGT0Y+9MPR8ks5kfPvLn9c//f7ur1/h+PbNHwjbLddYCtDHp/1ku2fH&#10;MlvfxXODT4zSWRd9399mIvbB30Ojtd8JDsFIGqTulsW2AadlrNgdPvLTe8L7OkEqJR/2026/FRyp&#10;Y9Ax8H9CExeQxE+jOF62y21STG9j/8QJVLaNeDX70+mNzPg1YqoPu2aaRukuO8A6xpNOwe4J7zUH&#10;cjwycsDmAYscgy5MDn+bHMksfXcLxn5ypBgbvbCWygvieJcdAQH5mLRjeR04aMee18g92mE/T8AH&#10;HKu208cm84Xo9rXVmptPYid/AwAA//8DAFBLAwQUAAYACAAAACEASj76St4AAAAHAQAADwAAAGRy&#10;cy9kb3ducmV2LnhtbEzPwWrDMAwG4Ptg72A02G113JLRZlFKKdtOZbB2MHZzYzUJjeUQu0n69vNO&#10;61H84tenfD3ZVgzU+8YxgpolIIhLZxquEL4Ob09LED5oNrp1TAhX8rAu7u9ynRk38icN+1CJWMI+&#10;0wh1CF0mpS9rstrPXEccs5PrrQ5x7Ctpej3GctvKeZI8S6sbjhdq3dG2pvK8v1iE91GPm4V6HXbn&#10;0/b6c0g/vneKEB8fps0LiEBT+F+GP36kQxFNR3dh40WLEB8JCPM0+mO6UksF4oiwSFcJyCKXt/7i&#10;FwAA//8DAFBLAQItABQABgAIAAAAIQC2gziS/gAAAOEBAAATAAAAAAAAAAAAAAAAAAAAAABbQ29u&#10;dGVudF9UeXBlc10ueG1sUEsBAi0AFAAGAAgAAAAhADj9If/WAAAAlAEAAAsAAAAAAAAAAAAAAAAA&#10;LwEAAF9yZWxzLy5yZWxzUEsBAi0AFAAGAAgAAAAhAHNy/PT7AwAAWhMAAA4AAAAAAAAAAAAAAAAA&#10;LgIAAGRycy9lMm9Eb2MueG1sUEsBAi0AFAAGAAgAAAAhAEo++kreAAAABwEAAA8AAAAAAAAAAAAA&#10;AAAAVQYAAGRycy9kb3ducmV2LnhtbFBLBQYAAAAABAAEAPMAAABgBwAAAAA=&#10;">
                <v:shape id="文本框 13" o:spid="_x0000_s1028" type="#_x0000_t202" style="position:absolute;width:1867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FygAAAOIAAAAPAAAAZHJzL2Rvd25yZXYueG1sRI/LSsNA&#10;FIb3Bd9hOEI30k5Saxpjp0UKSruzF+r2kDlNgpkzcWZM49s7C6HLn//Gt1wPphU9Od9YVpBOExDE&#10;pdUNVwpOx7dJDsIHZI2tZVLwSx7Wq7vREgttr7yn/hAqEUfYF6igDqErpPRlTQb91HbE0btYZzBE&#10;6SqpHV7juGnlLEkyabDh+FBjR5uayq/Dj1GQz7f9p989fpzL7NI+h4dF//7tlBrfD68vIAIN4Rb+&#10;b2+1gqdslqbzLI8QESnigFz9AQAA//8DAFBLAQItABQABgAIAAAAIQDb4fbL7gAAAIUBAAATAAAA&#10;AAAAAAAAAAAAAAAAAABbQ29udGVudF9UeXBlc10ueG1sUEsBAi0AFAAGAAgAAAAhAFr0LFu/AAAA&#10;FQEAAAsAAAAAAAAAAAAAAAAAHwEAAF9yZWxzLy5yZWxzUEsBAi0AFAAGAAgAAAAhAH6s8AXKAAAA&#10;4gAAAA8AAAAAAAAAAAAAAAAABwIAAGRycy9kb3ducmV2LnhtbFBLBQYAAAAAAwADALcAAAD+AgAA&#10;AAA=&#10;">
                  <v:textbox>
                    <w:txbxContent>
                      <w:p w14:paraId="7C9EF2CA"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Perceived Quality</w:t>
                        </w:r>
                      </w:p>
                    </w:txbxContent>
                  </v:textbox>
                </v:shape>
                <v:shape id="文本框 12" o:spid="_x0000_s1029" type="#_x0000_t202" style="position:absolute;top:8064;width:18738;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fLcyQAAAOMAAAAPAAAAZHJzL2Rvd25yZXYueG1sRE9NT8JA&#10;EL2b8B82Q+LFyFZFKIWFGBMN3BSIXifdoW3oztbdtdR/7xxMTOYy72verDaDa1VPITaeDdxNMlDE&#10;pbcNVwaOh5fbHFRMyBZbz2TghyJs1qOrFRbWX/id+n2qlIRwLNBAnVJXaB3LmhzGie+IhTv54DDJ&#10;GiptA14k3LX6Pstm2mHDcqHGjp5rKs/7b2cgn277z7h7ePsoZ6d2kW7m/etXMOZ6PDwtQSUa0r/4&#10;z721Un/xmMvMp1JafhIA9PoXAAD//wMAUEsBAi0AFAAGAAgAAAAhANvh9svuAAAAhQEAABMAAAAA&#10;AAAAAAAAAAAAAAAAAFtDb250ZW50X1R5cGVzXS54bWxQSwECLQAUAAYACAAAACEAWvQsW78AAAAV&#10;AQAACwAAAAAAAAAAAAAAAAAfAQAAX3JlbHMvLnJlbHNQSwECLQAUAAYACAAAACEA/L3y3MkAAADj&#10;AAAADwAAAAAAAAAAAAAAAAAHAgAAZHJzL2Rvd25yZXYueG1sUEsFBgAAAAADAAMAtwAAAP0CAAAA&#10;AA==&#10;">
                  <v:textbox>
                    <w:txbxContent>
                      <w:p w14:paraId="1298A538"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Perceived Value</w:t>
                        </w:r>
                      </w:p>
                    </w:txbxContent>
                  </v:textbox>
                </v:shape>
                <v:shape id="文本框 11" o:spid="_x0000_s1030" type="#_x0000_t202" style="position:absolute;left:127;top:15748;width:19246;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BygAAAOMAAAAPAAAAZHJzL2Rvd25yZXYueG1sRE/RTgIx&#10;EHwn8R+aNfHFSCviiSeFGBIJvCkQfd1cl7uL1+3ZluP4e0piwrztzs7MznTe20Z05EPtWMPjUIEg&#10;LpypudSw2348TECEiGywcUwaThRgPrsZTDE37shf1G1iKZIJhxw1VDG2uZShqMhiGLqWOHF75y3G&#10;NPpSGo/HZG4bOVIqkxZrTgkVtrSoqPjdHKyGyXjV/YT10+d3ke2b13j/0i3/vNZ3t/37G4hIfbwe&#10;/6tXJr0/Vup5lJDBpVNagJydAQAA//8DAFBLAQItABQABgAIAAAAIQDb4fbL7gAAAIUBAAATAAAA&#10;AAAAAAAAAAAAAAAAAABbQ29udGVudF9UeXBlc10ueG1sUEsBAi0AFAAGAAgAAAAhAFr0LFu/AAAA&#10;FQEAAAsAAAAAAAAAAAAAAAAAHwEAAF9yZWxzLy5yZWxzUEsBAi0AFAAGAAgAAAAhAHsX4YHKAAAA&#10;4wAAAA8AAAAAAAAAAAAAAAAABwIAAGRycy9kb3ducmV2LnhtbFBLBQYAAAAAAwADALcAAAD+AgAA&#10;AAA=&#10;">
                  <v:textbox>
                    <w:txbxContent>
                      <w:p w14:paraId="52F48804"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Customer expectations</w:t>
                        </w:r>
                      </w:p>
                    </w:txbxContent>
                  </v:textbox>
                </v:shape>
                <v:shape id="文本框 7" o:spid="_x0000_s1031" type="#_x0000_t202" style="position:absolute;left:32512;top:4508;width:25787;height:9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PyQAAAOMAAAAPAAAAZHJzL2Rvd25yZXYueG1sRE9fa8Iw&#10;EH8f7DuEE3wZmmpdddUoQ3C4t03FvR7N2ZY1ly6Jtfv2y2Cwx/v9v9WmN43oyPnasoLJOAFBXFhd&#10;c6ngdNyNFiB8QNbYWCYF3+Rhs76/W2Gu7Y3fqTuEUsQQ9jkqqEJocyl9UZFBP7YtceQu1hkM8XSl&#10;1A5vMdw0cpokmTRYc2yosKVtRcXn4WoULGb77sO/pm/nIrs0T+Fh3r18OaWGg/55CSJQH/7Ff+69&#10;jvOn88njLE2zFH5/igDI9Q8AAAD//wMAUEsBAi0AFAAGAAgAAAAhANvh9svuAAAAhQEAABMAAAAA&#10;AAAAAAAAAAAAAAAAAFtDb250ZW50X1R5cGVzXS54bWxQSwECLQAUAAYACAAAACEAWvQsW78AAAAV&#10;AQAACwAAAAAAAAAAAAAAAAAfAQAAX3JlbHMvLnJlbHNQSwECLQAUAAYACAAAACEA+PnRj8kAAADj&#10;AAAADwAAAAAAAAAAAAAAAAAHAgAAZHJzL2Rvd25yZXYueG1sUEsFBgAAAAADAAMAtwAAAP0CAAAA&#10;AA==&#10;">
                  <v:textbox>
                    <w:txbxContent>
                      <w:p w14:paraId="2621F8B8" w14:textId="77777777" w:rsidR="0052000D" w:rsidRPr="004E102C" w:rsidRDefault="00545001" w:rsidP="004E102C">
                        <w:pPr>
                          <w:widowControl/>
                          <w:jc w:val="center"/>
                          <w:rPr>
                            <w:rFonts w:ascii="TH SarabunPSK" w:eastAsiaTheme="minorEastAsia" w:hAnsi="TH SarabunPSK" w:cs="TH SarabunPSK"/>
                            <w:kern w:val="0"/>
                            <w:sz w:val="28"/>
                            <w:szCs w:val="28"/>
                            <w:lang w:eastAsia="en-US" w:bidi="th-TH"/>
                          </w:rPr>
                        </w:pPr>
                        <w:r w:rsidRPr="004E102C">
                          <w:rPr>
                            <w:rFonts w:ascii="TH SarabunPSK" w:eastAsiaTheme="minorEastAsia" w:hAnsi="TH SarabunPSK" w:cs="TH SarabunPSK"/>
                            <w:kern w:val="0"/>
                            <w:sz w:val="28"/>
                            <w:szCs w:val="28"/>
                            <w:lang w:eastAsia="en-US" w:bidi="th-TH"/>
                          </w:rPr>
                          <w:t>Student satisfaction with college career guidance services</w:t>
                        </w:r>
                      </w:p>
                      <w:p w14:paraId="004F7FE4" w14:textId="77777777" w:rsidR="0052000D" w:rsidRPr="004E102C" w:rsidRDefault="0052000D">
                        <w:pPr>
                          <w:spacing w:line="360" w:lineRule="auto"/>
                          <w:rPr>
                            <w:sz w:val="24"/>
                          </w:rPr>
                        </w:pPr>
                      </w:p>
                    </w:txbxContent>
                  </v:textbox>
                </v:shape>
                <v:line id="直接连接符 10" o:spid="_x0000_s1032" style="position:absolute;visibility:visible;mso-wrap-style:square" from="18669,1333" to="32575,9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uRyAAAAOMAAAAPAAAAZHJzL2Rvd25yZXYueG1sRE9fa8Iw&#10;EH8f7DuEG/giM5nSOTujiCDIHga6fYCzOduw5lKbWKuffhkIe7zf/5sve1eLjtpgPWt4GSkQxIU3&#10;lksN31+b5zcQISIbrD2ThisFWC4eH+aYG3/hHXX7WIoUwiFHDVWMTS5lKCpyGEa+IU7c0bcOYzrb&#10;UpoWLync1XKs1Kt0aDk1VNjQuqLiZ392GjJ7Ok2P58+6W33g7OBuQ3uQpPXgqV+9g4jUx3/x3b01&#10;af5kqrJMTcYz+PspASAXvwAAAP//AwBQSwECLQAUAAYACAAAACEA2+H2y+4AAACFAQAAEwAAAAAA&#10;AAAAAAAAAAAAAAAAW0NvbnRlbnRfVHlwZXNdLnhtbFBLAQItABQABgAIAAAAIQBa9CxbvwAAABUB&#10;AAALAAAAAAAAAAAAAAAAAB8BAABfcmVscy8ucmVsc1BLAQItABQABgAIAAAAIQA4FhuRyAAAAOMA&#10;AAAPAAAAAAAAAAAAAAAAAAcCAABkcnMvZG93bnJldi54bWxQSwUGAAAAAAMAAwC3AAAA/AIAAAAA&#10;">
                  <v:stroke endarrow="open"/>
                </v:line>
                <v:line id="直接连接符 9" o:spid="_x0000_s1033" style="position:absolute;flip:y;visibility:visible;mso-wrap-style:square" from="18732,9969" to="32607,10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qFxgAAAOMAAAAPAAAAZHJzL2Rvd25yZXYueG1sRE/NisIw&#10;EL4L+w5hhL1pqutWrUbRBcHLHnTd+9iMbbWZlCbW+vZGEDzO9z/zZWtK0VDtCssKBv0IBHFqdcGZ&#10;gsPfpjcB4TyyxtIyKbiTg+XiozPHRNsb76jZ+0yEEHYJKsi9rxIpXZqTQde3FXHgTrY26MNZZ1LX&#10;eAvhppTDKIqlwYJDQ44V/eSUXvZXo6C1x+/sf7W+7M6jwe+1WR/u2kdKfXbb1QyEp9a/xS/3Vof5&#10;o+HkaxqPxzE8fwoAyMUDAAD//wMAUEsBAi0AFAAGAAgAAAAhANvh9svuAAAAhQEAABMAAAAAAAAA&#10;AAAAAAAAAAAAAFtDb250ZW50X1R5cGVzXS54bWxQSwECLQAUAAYACAAAACEAWvQsW78AAAAVAQAA&#10;CwAAAAAAAAAAAAAAAAAfAQAAX3JlbHMvLnJlbHNQSwECLQAUAAYACAAAACEAyw7KhcYAAADjAAAA&#10;DwAAAAAAAAAAAAAAAAAHAgAAZHJzL2Rvd25yZXYueG1sUEsFBgAAAAADAAMAtwAAAPoCAAAAAA==&#10;">
                  <v:stroke endarrow="open"/>
                </v:line>
                <v:line id="直接连接符 8" o:spid="_x0000_s1034" style="position:absolute;flip:y;visibility:visible;mso-wrap-style:square" from="19113,10477" to="32537,18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XRoygAAAOMAAAAPAAAAZHJzL2Rvd25yZXYueG1sRI9Bb8Iw&#10;DIXvk/gPkSftNtIgxlAhIECatMsOMHb3GtN2NE7VhFL+/XxA4mj7+b33LdeDb1RPXawDWzDjDBRx&#10;EVzNpYXj98frHFRMyA6bwGThRhHWq9HTEnMXrryn/pBKJSYcc7RQpdTmWseiIo9xHFpiuZ1C5zHJ&#10;2JXadXgVc9/oSZbNtMeaJaHClnYVFefDxVsYwu9b+bPZnvd/U/N16bfHm0uZtS/Pw2YBKtGQHuL7&#10;96eT+u/TiZnPjBEKYZIF6NU/AAAA//8DAFBLAQItABQABgAIAAAAIQDb4fbL7gAAAIUBAAATAAAA&#10;AAAAAAAAAAAAAAAAAABbQ29udGVudF9UeXBlc10ueG1sUEsBAi0AFAAGAAgAAAAhAFr0LFu/AAAA&#10;FQEAAAsAAAAAAAAAAAAAAAAAHwEAAF9yZWxzLy5yZWxzUEsBAi0AFAAGAAgAAAAhAEC9dGjKAAAA&#10;4wAAAA8AAAAAAAAAAAAAAAAABwIAAGRycy9kb3ducmV2LnhtbFBLBQYAAAAAAwADALcAAAD+AgAA&#10;AAA=&#10;">
                  <v:stroke endarrow="open"/>
                </v:line>
              </v:group>
            </w:pict>
          </mc:Fallback>
        </mc:AlternateContent>
      </w:r>
      <w:r>
        <w:rPr>
          <w:rFonts w:hint="eastAsia"/>
          <w:sz w:val="24"/>
        </w:rPr>
        <w:t xml:space="preserve"> </w:t>
      </w:r>
    </w:p>
    <w:p w14:paraId="63CF0344" w14:textId="5166034F" w:rsidR="0052000D" w:rsidRDefault="0052000D" w:rsidP="00A65D11"/>
    <w:p w14:paraId="17BD42AA" w14:textId="28D82079" w:rsidR="0052000D" w:rsidRDefault="0052000D" w:rsidP="00A65D11"/>
    <w:p w14:paraId="52B32A01" w14:textId="37067417" w:rsidR="0052000D" w:rsidRDefault="0052000D" w:rsidP="00A65D11"/>
    <w:p w14:paraId="3E5F55AF" w14:textId="6F83A150" w:rsidR="0052000D" w:rsidRDefault="0052000D" w:rsidP="00A65D11"/>
    <w:p w14:paraId="6A66F4EF" w14:textId="01AA15DA" w:rsidR="0052000D" w:rsidRDefault="0052000D" w:rsidP="00A65D11"/>
    <w:p w14:paraId="0ACF7747" w14:textId="06E69FA0" w:rsidR="0052000D" w:rsidRDefault="0052000D" w:rsidP="00A65D11">
      <w:pPr>
        <w:pStyle w:val="a6"/>
        <w:widowControl/>
        <w:ind w:left="0"/>
        <w:rPr>
          <w:rFonts w:ascii="TH SarabunPSK" w:eastAsiaTheme="minorEastAsia" w:hAnsi="TH SarabunPSK" w:cs="TH SarabunPSK"/>
          <w:b/>
          <w:kern w:val="0"/>
          <w:sz w:val="32"/>
          <w:szCs w:val="32"/>
          <w:lang w:bidi="th-TH"/>
        </w:rPr>
      </w:pPr>
    </w:p>
    <w:p w14:paraId="1777C163" w14:textId="77777777" w:rsidR="004E102C" w:rsidRDefault="004E102C" w:rsidP="00A65D11">
      <w:pPr>
        <w:widowControl/>
        <w:rPr>
          <w:rFonts w:ascii="TH SarabunPSK" w:eastAsiaTheme="minorEastAsia" w:hAnsi="TH SarabunPSK" w:cs="TH SarabunPSK"/>
          <w:kern w:val="0"/>
          <w:sz w:val="28"/>
          <w:szCs w:val="28"/>
          <w:lang w:bidi="th-TH"/>
        </w:rPr>
      </w:pPr>
    </w:p>
    <w:p w14:paraId="541F9B56" w14:textId="38D9D2C6" w:rsidR="0052000D" w:rsidRDefault="00545001" w:rsidP="00A65D11">
      <w:pPr>
        <w:widowControl/>
        <w:rPr>
          <w:rFonts w:ascii="TH SarabunPSK" w:eastAsiaTheme="minorEastAsia" w:hAnsi="TH SarabunPSK" w:cs="TH SarabunPSK"/>
          <w:kern w:val="0"/>
          <w:sz w:val="28"/>
          <w:szCs w:val="28"/>
          <w:lang w:bidi="th-TH"/>
        </w:rPr>
      </w:pPr>
      <w:r>
        <w:rPr>
          <w:rFonts w:ascii="TH SarabunPSK" w:eastAsiaTheme="minorEastAsia" w:hAnsi="TH SarabunPSK" w:cs="TH SarabunPSK" w:hint="eastAsia"/>
          <w:kern w:val="0"/>
          <w:sz w:val="28"/>
          <w:szCs w:val="28"/>
          <w:lang w:bidi="th-TH"/>
        </w:rPr>
        <w:t>Figure 1 :Research framework</w:t>
      </w:r>
    </w:p>
    <w:p w14:paraId="5B970317" w14:textId="77777777" w:rsidR="0052000D" w:rsidRDefault="00545001" w:rsidP="00A65D11">
      <w:pPr>
        <w:pStyle w:val="2"/>
        <w:widowControl/>
        <w:spacing w:before="0"/>
        <w:rPr>
          <w:rFonts w:ascii="TH SarabunPSK" w:hAnsi="TH SarabunPSK" w:cs="TH SarabunPSK"/>
          <w:spacing w:val="-6"/>
          <w:kern w:val="0"/>
          <w:sz w:val="32"/>
          <w:szCs w:val="32"/>
          <w:lang w:bidi="th-TH"/>
        </w:rPr>
      </w:pPr>
      <w:r>
        <w:rPr>
          <w:rFonts w:ascii="TH SarabunPSK" w:hAnsi="TH SarabunPSK" w:cs="TH SarabunPSK"/>
          <w:spacing w:val="-6"/>
          <w:kern w:val="0"/>
          <w:sz w:val="32"/>
          <w:szCs w:val="32"/>
          <w:lang w:bidi="th-TH"/>
        </w:rPr>
        <w:t xml:space="preserve">Research </w:t>
      </w:r>
      <w:r>
        <w:rPr>
          <w:rFonts w:ascii="TH SarabunPSK" w:hAnsi="TH SarabunPSK" w:cs="TH SarabunPSK"/>
          <w:spacing w:val="-6"/>
          <w:kern w:val="0"/>
          <w:sz w:val="32"/>
          <w:szCs w:val="32"/>
          <w:lang w:bidi="th-TH"/>
        </w:rPr>
        <w:t>Hypothesis</w:t>
      </w:r>
    </w:p>
    <w:p w14:paraId="4B5E62D2" w14:textId="77777777" w:rsidR="0052000D" w:rsidRPr="004E102C" w:rsidRDefault="00545001" w:rsidP="00A65D11">
      <w:pPr>
        <w:ind w:firstLineChars="400" w:firstLine="1120"/>
        <w:outlineLvl w:val="1"/>
        <w:rPr>
          <w:rFonts w:ascii="TH SarabunPSK" w:hAnsi="TH SarabunPSK" w:cs="TH SarabunPSK"/>
          <w:sz w:val="28"/>
          <w:szCs w:val="28"/>
        </w:rPr>
      </w:pPr>
      <w:r w:rsidRPr="004E102C">
        <w:rPr>
          <w:rFonts w:ascii="TH SarabunPSK" w:hAnsi="TH SarabunPSK" w:cs="TH SarabunPSK"/>
          <w:sz w:val="28"/>
          <w:szCs w:val="28"/>
        </w:rPr>
        <w:t>Based on the ACSI model, this study proposes three hypotheses: perceived quality, perceived value, and customer expectations each have a significant positive impact on college students’ satisfaction with university employment guidance services.</w:t>
      </w:r>
    </w:p>
    <w:p w14:paraId="7F01E77B" w14:textId="77777777" w:rsidR="0052000D" w:rsidRPr="004E102C" w:rsidRDefault="00545001" w:rsidP="00A65D11">
      <w:pPr>
        <w:pStyle w:val="a6"/>
        <w:widowControl/>
        <w:ind w:left="0"/>
        <w:rPr>
          <w:rFonts w:ascii="TH SarabunPSK" w:eastAsiaTheme="minorEastAsia" w:hAnsi="TH SarabunPSK" w:cs="TH SarabunPSK"/>
          <w:b/>
          <w:kern w:val="0"/>
          <w:sz w:val="28"/>
          <w:lang w:bidi="th-TH"/>
        </w:rPr>
      </w:pPr>
      <w:r w:rsidRPr="004E102C">
        <w:rPr>
          <w:rFonts w:ascii="TH SarabunPSK" w:eastAsiaTheme="minorEastAsia" w:hAnsi="TH SarabunPSK" w:cs="TH SarabunPSK"/>
          <w:b/>
          <w:kern w:val="0"/>
          <w:sz w:val="28"/>
          <w:lang w:bidi="th-TH"/>
        </w:rPr>
        <w:t>RESEARCH METHODOLOGY</w:t>
      </w:r>
    </w:p>
    <w:p w14:paraId="071A47AF" w14:textId="77777777" w:rsidR="0052000D" w:rsidRPr="004E102C" w:rsidRDefault="00545001" w:rsidP="00A65D11">
      <w:pPr>
        <w:ind w:firstLineChars="400" w:firstLine="1120"/>
        <w:rPr>
          <w:rFonts w:ascii="TH SarabunPSK" w:eastAsia="Times New Roman" w:hAnsi="TH SarabunPSK" w:cs="TH SarabunPSK"/>
          <w:kern w:val="0"/>
          <w:sz w:val="28"/>
          <w:szCs w:val="28"/>
          <w:lang w:bidi="th-TH"/>
        </w:rPr>
      </w:pPr>
      <w:r w:rsidRPr="004E102C">
        <w:rPr>
          <w:rFonts w:ascii="TH SarabunPSK" w:eastAsia="Times New Roman" w:hAnsi="TH SarabunPSK" w:cs="TH SarabunPSK"/>
          <w:kern w:val="0"/>
          <w:sz w:val="28"/>
          <w:szCs w:val="28"/>
          <w:lang w:bidi="th-TH"/>
        </w:rPr>
        <w:t>The study population comprised all 9,113 graduates of Shandong Foreign Affairs Vocational University in 2025. Using Yamane’s (1967) formula with a 95% confidence level and a 0.05 margin of error, a sample size of about 400 was deemed a</w:t>
      </w:r>
      <w:r w:rsidRPr="004E102C">
        <w:rPr>
          <w:rFonts w:ascii="TH SarabunPSK" w:eastAsia="Times New Roman" w:hAnsi="TH SarabunPSK" w:cs="TH SarabunPSK"/>
          <w:kern w:val="0"/>
          <w:sz w:val="28"/>
          <w:szCs w:val="28"/>
          <w:lang w:bidi="th-TH"/>
        </w:rPr>
        <w:t>dequate. Convenience sampling was employed, supplemented by stratified sampling based on the proportion of graduates in each secondary college to enhance representativeness.</w:t>
      </w:r>
    </w:p>
    <w:p w14:paraId="163CAA91" w14:textId="77777777" w:rsidR="0052000D" w:rsidRPr="004E102C" w:rsidRDefault="00545001" w:rsidP="00A65D11">
      <w:pPr>
        <w:rPr>
          <w:rFonts w:ascii="TH SarabunPSK" w:hAnsi="TH SarabunPSK" w:cs="TH SarabunPSK"/>
          <w:sz w:val="32"/>
          <w:szCs w:val="32"/>
        </w:rPr>
      </w:pPr>
      <w:r w:rsidRPr="004E102C">
        <w:rPr>
          <w:rFonts w:ascii="TH SarabunPSK" w:hAnsi="TH SarabunPSK" w:cs="TH SarabunPSK"/>
          <w:b/>
          <w:bCs/>
          <w:sz w:val="32"/>
          <w:szCs w:val="32"/>
        </w:rPr>
        <w:t>Research Tools, Data Collection, and Analysis</w:t>
      </w:r>
    </w:p>
    <w:p w14:paraId="306833AD" w14:textId="77777777" w:rsidR="0052000D" w:rsidRDefault="00545001" w:rsidP="00A65D11">
      <w:pPr>
        <w:ind w:firstLineChars="400" w:firstLine="1120"/>
        <w:rPr>
          <w:rFonts w:ascii="TH SarabunPSK" w:eastAsia="Times New Roman" w:hAnsi="TH SarabunPSK" w:cs="TH SarabunPSK"/>
          <w:kern w:val="0"/>
          <w:sz w:val="28"/>
          <w:szCs w:val="28"/>
          <w:lang w:bidi="th-TH"/>
        </w:rPr>
      </w:pPr>
      <w:r>
        <w:rPr>
          <w:rFonts w:ascii="TH SarabunPSK" w:eastAsia="Times New Roman" w:hAnsi="TH SarabunPSK" w:cs="TH SarabunPSK"/>
          <w:kern w:val="0"/>
          <w:sz w:val="28"/>
          <w:szCs w:val="28"/>
          <w:lang w:bidi="th-TH"/>
        </w:rPr>
        <w:t>This study employed an online questi</w:t>
      </w:r>
      <w:r>
        <w:rPr>
          <w:rFonts w:ascii="TH SarabunPSK" w:eastAsia="Times New Roman" w:hAnsi="TH SarabunPSK" w:cs="TH SarabunPSK"/>
          <w:kern w:val="0"/>
          <w:sz w:val="28"/>
          <w:szCs w:val="28"/>
          <w:lang w:bidi="th-TH"/>
        </w:rPr>
        <w:t xml:space="preserve">onnaire distributed via the </w:t>
      </w:r>
      <w:proofErr w:type="spellStart"/>
      <w:r>
        <w:rPr>
          <w:rFonts w:ascii="TH SarabunPSK" w:eastAsia="Times New Roman" w:hAnsi="TH SarabunPSK" w:cs="TH SarabunPSK"/>
          <w:kern w:val="0"/>
          <w:sz w:val="28"/>
          <w:szCs w:val="28"/>
          <w:lang w:bidi="th-TH"/>
        </w:rPr>
        <w:t>Wenjuanxing</w:t>
      </w:r>
      <w:proofErr w:type="spellEnd"/>
      <w:r>
        <w:rPr>
          <w:rFonts w:ascii="TH SarabunPSK" w:eastAsia="Times New Roman" w:hAnsi="TH SarabunPSK" w:cs="TH SarabunPSK"/>
          <w:kern w:val="0"/>
          <w:sz w:val="28"/>
          <w:szCs w:val="28"/>
          <w:lang w:bidi="th-TH"/>
        </w:rPr>
        <w:t xml:space="preserve"> platform. The instrument was developed based on relevant literature and revised with expert feedback, and its content validity was confirmed using the Index of Item-Objective Congruence (IOC), with all items exceedin</w:t>
      </w:r>
      <w:r>
        <w:rPr>
          <w:rFonts w:ascii="TH SarabunPSK" w:eastAsia="Times New Roman" w:hAnsi="TH SarabunPSK" w:cs="TH SarabunPSK"/>
          <w:kern w:val="0"/>
          <w:sz w:val="28"/>
          <w:szCs w:val="28"/>
          <w:lang w:bidi="th-TH"/>
        </w:rPr>
        <w:t>g 0.50. The questionnaire included four sections: demographic information, career guidance services, students’ perceptions (perceived quality, perceived value, and expectations), and overall satisfaction, measured on a five-point Likert scale. A pilot test</w:t>
      </w:r>
      <w:r>
        <w:rPr>
          <w:rFonts w:ascii="TH SarabunPSK" w:eastAsia="Times New Roman" w:hAnsi="TH SarabunPSK" w:cs="TH SarabunPSK"/>
          <w:kern w:val="0"/>
          <w:sz w:val="28"/>
          <w:szCs w:val="28"/>
          <w:lang w:bidi="th-TH"/>
        </w:rPr>
        <w:t xml:space="preserve"> with 30 respondents showed good reliability (Cronbach’s α = 0.812–0.942). Using stratified sampling, 400 valid responses were collected from 2025 graduates of Shandong Foreign Affairs Vocational University. Data were analyzed with SPSS using descriptive s</w:t>
      </w:r>
      <w:r>
        <w:rPr>
          <w:rFonts w:ascii="TH SarabunPSK" w:eastAsia="Times New Roman" w:hAnsi="TH SarabunPSK" w:cs="TH SarabunPSK"/>
          <w:kern w:val="0"/>
          <w:sz w:val="28"/>
          <w:szCs w:val="28"/>
          <w:lang w:bidi="th-TH"/>
        </w:rPr>
        <w:t>tatistics, factor analysis, correlation, and regression, with no multicollinearity or autocorrelation detected.</w:t>
      </w:r>
    </w:p>
    <w:p w14:paraId="289333C3" w14:textId="77777777" w:rsidR="0052000D" w:rsidRDefault="00545001" w:rsidP="00A65D11">
      <w:pPr>
        <w:widowControl/>
        <w:rPr>
          <w:rFonts w:ascii="TH SarabunPSK" w:eastAsiaTheme="minorEastAsia" w:hAnsi="TH SarabunPSK" w:cs="TH SarabunPSK"/>
          <w:b/>
          <w:kern w:val="0"/>
          <w:sz w:val="32"/>
          <w:szCs w:val="32"/>
          <w:lang w:bidi="th-TH"/>
        </w:rPr>
      </w:pPr>
      <w:r>
        <w:rPr>
          <w:rFonts w:ascii="TH SarabunPSK" w:eastAsiaTheme="minorEastAsia" w:hAnsi="TH SarabunPSK" w:cs="TH SarabunPSK"/>
          <w:b/>
          <w:kern w:val="0"/>
          <w:sz w:val="32"/>
          <w:szCs w:val="32"/>
          <w:lang w:bidi="th-TH"/>
        </w:rPr>
        <w:t>DATA ANALYSIS RESULTS</w:t>
      </w:r>
    </w:p>
    <w:p w14:paraId="3235975B" w14:textId="77777777" w:rsidR="0052000D" w:rsidRDefault="00545001" w:rsidP="00A65D11">
      <w:pPr>
        <w:ind w:firstLineChars="400" w:firstLine="1120"/>
        <w:rPr>
          <w:rFonts w:ascii="TH SarabunPSK" w:eastAsia="Times New Roman" w:hAnsi="TH SarabunPSK" w:cs="TH SarabunPSK"/>
          <w:kern w:val="0"/>
          <w:sz w:val="28"/>
          <w:szCs w:val="28"/>
          <w:lang w:bidi="th-TH"/>
        </w:rPr>
      </w:pPr>
      <w:r>
        <w:rPr>
          <w:rFonts w:ascii="TH SarabunPSK" w:eastAsia="Times New Roman" w:hAnsi="TH SarabunPSK" w:cs="TH SarabunPSK"/>
          <w:kern w:val="0"/>
          <w:sz w:val="28"/>
          <w:szCs w:val="28"/>
          <w:lang w:bidi="th-TH"/>
        </w:rPr>
        <w:t>A total of 400 valid questionnaires were analyzed. Most respondents were female (56.25%), aged 21–25 (89.25%), and from urban areas (71.25%). Science and engineering majors were the largest group. Most students perceived job hunting as difficult, with empl</w:t>
      </w:r>
      <w:r>
        <w:rPr>
          <w:rFonts w:ascii="TH SarabunPSK" w:eastAsia="Times New Roman" w:hAnsi="TH SarabunPSK" w:cs="TH SarabunPSK"/>
          <w:kern w:val="0"/>
          <w:sz w:val="28"/>
          <w:szCs w:val="28"/>
          <w:lang w:bidi="th-TH"/>
        </w:rPr>
        <w:t>oyment status mainly “signed” or “no clear direction.”</w:t>
      </w:r>
    </w:p>
    <w:p w14:paraId="4CFC5DE4" w14:textId="77777777" w:rsidR="0052000D" w:rsidRDefault="00545001" w:rsidP="00A65D11">
      <w:pPr>
        <w:widowControl/>
        <w:rPr>
          <w:rFonts w:ascii="TH SarabunPSK" w:eastAsiaTheme="minorEastAsia" w:hAnsi="TH SarabunPSK" w:cs="TH SarabunPSK"/>
          <w:b/>
          <w:kern w:val="0"/>
          <w:sz w:val="32"/>
          <w:szCs w:val="32"/>
          <w:lang w:eastAsia="en-US" w:bidi="th-TH"/>
        </w:rPr>
      </w:pPr>
      <w:r>
        <w:rPr>
          <w:rFonts w:ascii="TH SarabunPSK" w:eastAsiaTheme="minorEastAsia" w:hAnsi="TH SarabunPSK" w:cs="TH SarabunPSK"/>
          <w:b/>
          <w:kern w:val="0"/>
          <w:sz w:val="32"/>
          <w:szCs w:val="32"/>
          <w:lang w:eastAsia="en-US" w:bidi="th-TH"/>
        </w:rPr>
        <w:t>Regression analysis</w:t>
      </w:r>
    </w:p>
    <w:p w14:paraId="08AAD9E2" w14:textId="77777777" w:rsidR="0052000D" w:rsidRDefault="00545001" w:rsidP="00A65D11">
      <w:pPr>
        <w:rPr>
          <w:rFonts w:ascii="TH SarabunPSK" w:eastAsiaTheme="minorEastAsia" w:hAnsi="TH SarabunPSK" w:cs="TH SarabunPSK"/>
          <w:kern w:val="0"/>
          <w:sz w:val="28"/>
          <w:szCs w:val="28"/>
          <w:lang w:eastAsia="en-US" w:bidi="th-TH"/>
        </w:rPr>
      </w:pPr>
      <w:r>
        <w:rPr>
          <w:rFonts w:ascii="TH SarabunPSK" w:eastAsiaTheme="minorEastAsia" w:hAnsi="TH SarabunPSK" w:cs="TH SarabunPSK" w:hint="eastAsia"/>
          <w:b/>
          <w:bCs/>
          <w:kern w:val="0"/>
          <w:sz w:val="28"/>
          <w:szCs w:val="28"/>
          <w:lang w:eastAsia="en-US" w:bidi="th-TH"/>
        </w:rPr>
        <w:t>Table</w:t>
      </w:r>
      <w:r>
        <w:rPr>
          <w:rFonts w:ascii="TH SarabunPSK" w:eastAsiaTheme="minorEastAsia" w:hAnsi="TH SarabunPSK" w:cs="TH SarabunPSK" w:hint="eastAsia"/>
          <w:b/>
          <w:bCs/>
          <w:kern w:val="0"/>
          <w:sz w:val="28"/>
          <w:szCs w:val="28"/>
          <w:lang w:bidi="th-TH"/>
        </w:rPr>
        <w:t xml:space="preserve"> 1. </w:t>
      </w:r>
      <w:r>
        <w:rPr>
          <w:rFonts w:ascii="TH SarabunPSK" w:eastAsiaTheme="minorEastAsia" w:hAnsi="TH SarabunPSK" w:cs="TH SarabunPSK"/>
          <w:kern w:val="0"/>
          <w:sz w:val="28"/>
          <w:szCs w:val="28"/>
          <w:lang w:eastAsia="en-US" w:bidi="th-TH"/>
        </w:rPr>
        <w:t>Regression analysis (n=400)</w:t>
      </w:r>
    </w:p>
    <w:tbl>
      <w:tblPr>
        <w:tblW w:w="8231" w:type="dxa"/>
        <w:jc w:val="center"/>
        <w:tblLayout w:type="fixed"/>
        <w:tblCellMar>
          <w:top w:w="15" w:type="dxa"/>
          <w:left w:w="15" w:type="dxa"/>
          <w:bottom w:w="15" w:type="dxa"/>
          <w:right w:w="15" w:type="dxa"/>
        </w:tblCellMar>
        <w:tblLook w:val="04A0" w:firstRow="1" w:lastRow="0" w:firstColumn="1" w:lastColumn="0" w:noHBand="0" w:noVBand="1"/>
      </w:tblPr>
      <w:tblGrid>
        <w:gridCol w:w="3060"/>
        <w:gridCol w:w="1260"/>
        <w:gridCol w:w="1334"/>
        <w:gridCol w:w="1170"/>
        <w:gridCol w:w="990"/>
        <w:gridCol w:w="417"/>
      </w:tblGrid>
      <w:tr w:rsidR="007D39EB" w:rsidRPr="004E102C" w14:paraId="5C24A2F9" w14:textId="77777777" w:rsidTr="007D39EB">
        <w:trPr>
          <w:trHeight w:val="319"/>
          <w:jc w:val="center"/>
        </w:trPr>
        <w:tc>
          <w:tcPr>
            <w:tcW w:w="3060" w:type="dxa"/>
            <w:vMerge w:val="restart"/>
            <w:tcBorders>
              <w:top w:val="single" w:sz="4" w:space="0" w:color="auto"/>
            </w:tcBorders>
            <w:vAlign w:val="center"/>
          </w:tcPr>
          <w:p w14:paraId="1D7575B7" w14:textId="77777777" w:rsidR="007D39EB" w:rsidRPr="004E102C" w:rsidRDefault="007D39EB" w:rsidP="00A65D11">
            <w:pPr>
              <w:jc w:val="left"/>
              <w:rPr>
                <w:rFonts w:ascii="TH SarabunPSK" w:hAnsi="TH SarabunPSK" w:cs="TH SarabunPSK"/>
                <w:sz w:val="24"/>
              </w:rPr>
            </w:pPr>
          </w:p>
        </w:tc>
        <w:tc>
          <w:tcPr>
            <w:tcW w:w="2594" w:type="dxa"/>
            <w:gridSpan w:val="2"/>
            <w:tcBorders>
              <w:top w:val="single" w:sz="4" w:space="0" w:color="auto"/>
            </w:tcBorders>
            <w:vAlign w:val="center"/>
          </w:tcPr>
          <w:p w14:paraId="3E31B350"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Non-standardized coefficients</w:t>
            </w:r>
          </w:p>
        </w:tc>
        <w:tc>
          <w:tcPr>
            <w:tcW w:w="1170" w:type="dxa"/>
            <w:tcBorders>
              <w:top w:val="single" w:sz="4" w:space="0" w:color="auto"/>
            </w:tcBorders>
            <w:vAlign w:val="center"/>
          </w:tcPr>
          <w:p w14:paraId="13B8E8FE"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Standardized coefficients</w:t>
            </w:r>
          </w:p>
        </w:tc>
        <w:tc>
          <w:tcPr>
            <w:tcW w:w="990" w:type="dxa"/>
            <w:vMerge w:val="restart"/>
            <w:tcBorders>
              <w:top w:val="single" w:sz="4" w:space="0" w:color="auto"/>
            </w:tcBorders>
            <w:vAlign w:val="center"/>
          </w:tcPr>
          <w:p w14:paraId="37CF2573" w14:textId="44EAF8FC"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t</w:t>
            </w:r>
          </w:p>
        </w:tc>
        <w:tc>
          <w:tcPr>
            <w:tcW w:w="417" w:type="dxa"/>
            <w:vMerge w:val="restart"/>
            <w:tcBorders>
              <w:top w:val="single" w:sz="4" w:space="0" w:color="auto"/>
            </w:tcBorders>
            <w:vAlign w:val="center"/>
          </w:tcPr>
          <w:p w14:paraId="20DC8A11" w14:textId="055EB89D"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p</w:t>
            </w:r>
          </w:p>
        </w:tc>
      </w:tr>
      <w:tr w:rsidR="007D39EB" w:rsidRPr="004E102C" w14:paraId="26CEAF5D" w14:textId="77777777" w:rsidTr="007D39EB">
        <w:trPr>
          <w:trHeight w:val="290"/>
          <w:jc w:val="center"/>
        </w:trPr>
        <w:tc>
          <w:tcPr>
            <w:tcW w:w="3060" w:type="dxa"/>
            <w:vMerge/>
            <w:tcBorders>
              <w:bottom w:val="single" w:sz="4" w:space="0" w:color="auto"/>
            </w:tcBorders>
            <w:vAlign w:val="center"/>
          </w:tcPr>
          <w:p w14:paraId="048D14C9" w14:textId="77777777" w:rsidR="007D39EB" w:rsidRPr="004E102C" w:rsidRDefault="007D39EB" w:rsidP="00A65D11">
            <w:pPr>
              <w:jc w:val="left"/>
              <w:rPr>
                <w:rFonts w:ascii="TH SarabunPSK" w:hAnsi="TH SarabunPSK" w:cs="TH SarabunPSK"/>
                <w:sz w:val="24"/>
              </w:rPr>
            </w:pPr>
          </w:p>
        </w:tc>
        <w:tc>
          <w:tcPr>
            <w:tcW w:w="1260" w:type="dxa"/>
            <w:tcBorders>
              <w:bottom w:val="single" w:sz="4" w:space="0" w:color="auto"/>
            </w:tcBorders>
            <w:vAlign w:val="center"/>
          </w:tcPr>
          <w:p w14:paraId="33630CD5" w14:textId="78B5D2A1"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B</w:t>
            </w:r>
          </w:p>
        </w:tc>
        <w:tc>
          <w:tcPr>
            <w:tcW w:w="1334" w:type="dxa"/>
            <w:tcBorders>
              <w:bottom w:val="single" w:sz="4" w:space="0" w:color="auto"/>
            </w:tcBorders>
            <w:vAlign w:val="center"/>
          </w:tcPr>
          <w:p w14:paraId="79F0087D" w14:textId="60856663"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Standard error</w:t>
            </w:r>
          </w:p>
        </w:tc>
        <w:tc>
          <w:tcPr>
            <w:tcW w:w="1170" w:type="dxa"/>
            <w:tcBorders>
              <w:bottom w:val="single" w:sz="4" w:space="0" w:color="auto"/>
            </w:tcBorders>
            <w:vAlign w:val="center"/>
          </w:tcPr>
          <w:p w14:paraId="08829DB2" w14:textId="21269741"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Beta</w:t>
            </w:r>
          </w:p>
        </w:tc>
        <w:tc>
          <w:tcPr>
            <w:tcW w:w="990" w:type="dxa"/>
            <w:vMerge/>
            <w:tcBorders>
              <w:bottom w:val="single" w:sz="4" w:space="0" w:color="auto"/>
            </w:tcBorders>
            <w:vAlign w:val="center"/>
          </w:tcPr>
          <w:p w14:paraId="15E879ED" w14:textId="77777777" w:rsidR="007D39EB" w:rsidRPr="004E102C" w:rsidRDefault="007D39EB" w:rsidP="00A65D11">
            <w:pPr>
              <w:jc w:val="center"/>
              <w:rPr>
                <w:rFonts w:ascii="TH SarabunPSK" w:hAnsi="TH SarabunPSK" w:cs="TH SarabunPSK"/>
                <w:sz w:val="24"/>
              </w:rPr>
            </w:pPr>
          </w:p>
        </w:tc>
        <w:tc>
          <w:tcPr>
            <w:tcW w:w="417" w:type="dxa"/>
            <w:vMerge/>
            <w:tcBorders>
              <w:bottom w:val="single" w:sz="4" w:space="0" w:color="auto"/>
            </w:tcBorders>
            <w:vAlign w:val="center"/>
          </w:tcPr>
          <w:p w14:paraId="129A3EC9" w14:textId="77777777" w:rsidR="007D39EB" w:rsidRPr="004E102C" w:rsidRDefault="007D39EB" w:rsidP="00A65D11">
            <w:pPr>
              <w:jc w:val="center"/>
              <w:rPr>
                <w:rFonts w:ascii="TH SarabunPSK" w:hAnsi="TH SarabunPSK" w:cs="TH SarabunPSK"/>
                <w:sz w:val="24"/>
              </w:rPr>
            </w:pPr>
          </w:p>
        </w:tc>
      </w:tr>
      <w:tr w:rsidR="007D39EB" w:rsidRPr="004E102C" w14:paraId="2240D679" w14:textId="77777777" w:rsidTr="007D39EB">
        <w:trPr>
          <w:trHeight w:val="534"/>
          <w:jc w:val="center"/>
        </w:trPr>
        <w:tc>
          <w:tcPr>
            <w:tcW w:w="3060" w:type="dxa"/>
            <w:tcBorders>
              <w:top w:val="single" w:sz="4" w:space="0" w:color="auto"/>
            </w:tcBorders>
            <w:vAlign w:val="center"/>
          </w:tcPr>
          <w:p w14:paraId="622A3822" w14:textId="77777777" w:rsidR="007D39EB" w:rsidRPr="004E102C" w:rsidRDefault="007D39EB" w:rsidP="00A65D11">
            <w:pPr>
              <w:jc w:val="left"/>
              <w:rPr>
                <w:rFonts w:ascii="TH SarabunPSK" w:hAnsi="TH SarabunPSK" w:cs="TH SarabunPSK"/>
                <w:sz w:val="24"/>
              </w:rPr>
            </w:pPr>
            <w:r w:rsidRPr="004E102C">
              <w:rPr>
                <w:rFonts w:ascii="TH SarabunPSK" w:hAnsi="TH SarabunPSK" w:cs="TH SarabunPSK"/>
                <w:sz w:val="24"/>
              </w:rPr>
              <w:t>Constant</w:t>
            </w:r>
          </w:p>
        </w:tc>
        <w:tc>
          <w:tcPr>
            <w:tcW w:w="1260" w:type="dxa"/>
            <w:tcBorders>
              <w:top w:val="single" w:sz="4" w:space="0" w:color="auto"/>
            </w:tcBorders>
            <w:vAlign w:val="center"/>
          </w:tcPr>
          <w:p w14:paraId="08B856C8"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0.973</w:t>
            </w:r>
          </w:p>
        </w:tc>
        <w:tc>
          <w:tcPr>
            <w:tcW w:w="1334" w:type="dxa"/>
            <w:tcBorders>
              <w:top w:val="single" w:sz="4" w:space="0" w:color="auto"/>
            </w:tcBorders>
            <w:vAlign w:val="center"/>
          </w:tcPr>
          <w:p w14:paraId="22E5F5BF"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0.125</w:t>
            </w:r>
          </w:p>
        </w:tc>
        <w:tc>
          <w:tcPr>
            <w:tcW w:w="1170" w:type="dxa"/>
            <w:tcBorders>
              <w:top w:val="single" w:sz="4" w:space="0" w:color="auto"/>
            </w:tcBorders>
            <w:vAlign w:val="center"/>
          </w:tcPr>
          <w:p w14:paraId="6B1177FA" w14:textId="77777777" w:rsidR="007D39EB" w:rsidRPr="004E102C" w:rsidRDefault="007D39EB" w:rsidP="00A65D11">
            <w:pPr>
              <w:jc w:val="center"/>
              <w:rPr>
                <w:rFonts w:ascii="TH SarabunPSK" w:hAnsi="TH SarabunPSK" w:cs="TH SarabunPSK"/>
                <w:sz w:val="24"/>
              </w:rPr>
            </w:pPr>
          </w:p>
        </w:tc>
        <w:tc>
          <w:tcPr>
            <w:tcW w:w="990" w:type="dxa"/>
            <w:tcBorders>
              <w:top w:val="single" w:sz="4" w:space="0" w:color="auto"/>
            </w:tcBorders>
            <w:vAlign w:val="center"/>
          </w:tcPr>
          <w:p w14:paraId="183498A0"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7.766</w:t>
            </w:r>
          </w:p>
        </w:tc>
        <w:tc>
          <w:tcPr>
            <w:tcW w:w="417" w:type="dxa"/>
            <w:tcBorders>
              <w:top w:val="single" w:sz="4" w:space="0" w:color="auto"/>
            </w:tcBorders>
            <w:vAlign w:val="center"/>
          </w:tcPr>
          <w:p w14:paraId="34CFEDB2"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0.000</w:t>
            </w:r>
          </w:p>
        </w:tc>
      </w:tr>
      <w:tr w:rsidR="007D39EB" w:rsidRPr="004E102C" w14:paraId="75A928B9" w14:textId="77777777" w:rsidTr="007D39EB">
        <w:trPr>
          <w:trHeight w:val="534"/>
          <w:jc w:val="center"/>
        </w:trPr>
        <w:tc>
          <w:tcPr>
            <w:tcW w:w="3060" w:type="dxa"/>
            <w:vAlign w:val="center"/>
          </w:tcPr>
          <w:p w14:paraId="2C70A4F8" w14:textId="77777777" w:rsidR="007D39EB" w:rsidRPr="004E102C" w:rsidRDefault="007D39EB" w:rsidP="00A65D11">
            <w:pPr>
              <w:jc w:val="left"/>
              <w:rPr>
                <w:rFonts w:ascii="TH SarabunPSK" w:hAnsi="TH SarabunPSK" w:cs="TH SarabunPSK"/>
                <w:sz w:val="24"/>
              </w:rPr>
            </w:pPr>
            <w:r w:rsidRPr="004E102C">
              <w:rPr>
                <w:rFonts w:ascii="TH SarabunPSK" w:hAnsi="TH SarabunPSK" w:cs="TH SarabunPSK"/>
                <w:sz w:val="24"/>
              </w:rPr>
              <w:t>Perceived quality</w:t>
            </w:r>
          </w:p>
        </w:tc>
        <w:tc>
          <w:tcPr>
            <w:tcW w:w="1260" w:type="dxa"/>
            <w:vAlign w:val="center"/>
          </w:tcPr>
          <w:p w14:paraId="78757CBB"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0.222</w:t>
            </w:r>
          </w:p>
        </w:tc>
        <w:tc>
          <w:tcPr>
            <w:tcW w:w="1334" w:type="dxa"/>
            <w:vAlign w:val="center"/>
          </w:tcPr>
          <w:p w14:paraId="4E3F0C71"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0.032</w:t>
            </w:r>
          </w:p>
        </w:tc>
        <w:tc>
          <w:tcPr>
            <w:tcW w:w="1170" w:type="dxa"/>
            <w:vAlign w:val="center"/>
          </w:tcPr>
          <w:p w14:paraId="63CD244A"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0.285</w:t>
            </w:r>
          </w:p>
        </w:tc>
        <w:tc>
          <w:tcPr>
            <w:tcW w:w="990" w:type="dxa"/>
            <w:vAlign w:val="center"/>
          </w:tcPr>
          <w:p w14:paraId="4FF61189"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6.954</w:t>
            </w:r>
          </w:p>
        </w:tc>
        <w:tc>
          <w:tcPr>
            <w:tcW w:w="417" w:type="dxa"/>
            <w:vAlign w:val="center"/>
          </w:tcPr>
          <w:p w14:paraId="2E0B88C4"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0.000</w:t>
            </w:r>
          </w:p>
        </w:tc>
      </w:tr>
      <w:tr w:rsidR="007D39EB" w:rsidRPr="004E102C" w14:paraId="56A23A36" w14:textId="77777777" w:rsidTr="007D39EB">
        <w:trPr>
          <w:trHeight w:val="534"/>
          <w:jc w:val="center"/>
        </w:trPr>
        <w:tc>
          <w:tcPr>
            <w:tcW w:w="3060" w:type="dxa"/>
            <w:vAlign w:val="center"/>
          </w:tcPr>
          <w:p w14:paraId="758C296E" w14:textId="77777777" w:rsidR="007D39EB" w:rsidRPr="004E102C" w:rsidRDefault="007D39EB" w:rsidP="00A65D11">
            <w:pPr>
              <w:jc w:val="left"/>
              <w:rPr>
                <w:rFonts w:ascii="TH SarabunPSK" w:hAnsi="TH SarabunPSK" w:cs="TH SarabunPSK"/>
                <w:sz w:val="24"/>
              </w:rPr>
            </w:pPr>
            <w:r w:rsidRPr="004E102C">
              <w:rPr>
                <w:rFonts w:ascii="TH SarabunPSK" w:hAnsi="TH SarabunPSK" w:cs="TH SarabunPSK"/>
                <w:sz w:val="24"/>
              </w:rPr>
              <w:t>Perceived value</w:t>
            </w:r>
          </w:p>
        </w:tc>
        <w:tc>
          <w:tcPr>
            <w:tcW w:w="1260" w:type="dxa"/>
            <w:vAlign w:val="center"/>
          </w:tcPr>
          <w:p w14:paraId="1D1E5447"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0.214</w:t>
            </w:r>
          </w:p>
        </w:tc>
        <w:tc>
          <w:tcPr>
            <w:tcW w:w="1334" w:type="dxa"/>
            <w:vAlign w:val="center"/>
          </w:tcPr>
          <w:p w14:paraId="2F93F040"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0.032</w:t>
            </w:r>
          </w:p>
        </w:tc>
        <w:tc>
          <w:tcPr>
            <w:tcW w:w="1170" w:type="dxa"/>
            <w:vAlign w:val="center"/>
          </w:tcPr>
          <w:p w14:paraId="59749387"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0.275</w:t>
            </w:r>
          </w:p>
        </w:tc>
        <w:tc>
          <w:tcPr>
            <w:tcW w:w="990" w:type="dxa"/>
            <w:vAlign w:val="center"/>
          </w:tcPr>
          <w:p w14:paraId="684C786F"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6.666</w:t>
            </w:r>
          </w:p>
        </w:tc>
        <w:tc>
          <w:tcPr>
            <w:tcW w:w="417" w:type="dxa"/>
            <w:vAlign w:val="center"/>
          </w:tcPr>
          <w:p w14:paraId="58B524B9"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0.000</w:t>
            </w:r>
          </w:p>
        </w:tc>
      </w:tr>
      <w:tr w:rsidR="007D39EB" w:rsidRPr="004E102C" w14:paraId="230A171E" w14:textId="77777777" w:rsidTr="007D39EB">
        <w:trPr>
          <w:trHeight w:val="534"/>
          <w:jc w:val="center"/>
        </w:trPr>
        <w:tc>
          <w:tcPr>
            <w:tcW w:w="3060" w:type="dxa"/>
            <w:tcBorders>
              <w:bottom w:val="single" w:sz="4" w:space="0" w:color="auto"/>
            </w:tcBorders>
            <w:vAlign w:val="center"/>
          </w:tcPr>
          <w:p w14:paraId="28A0027C" w14:textId="77777777" w:rsidR="007D39EB" w:rsidRPr="004E102C" w:rsidRDefault="007D39EB" w:rsidP="00A65D11">
            <w:pPr>
              <w:jc w:val="left"/>
              <w:rPr>
                <w:rFonts w:ascii="TH SarabunPSK" w:hAnsi="TH SarabunPSK" w:cs="TH SarabunPSK"/>
                <w:sz w:val="24"/>
              </w:rPr>
            </w:pPr>
            <w:r w:rsidRPr="004E102C">
              <w:rPr>
                <w:rFonts w:ascii="TH SarabunPSK" w:hAnsi="TH SarabunPSK" w:cs="TH SarabunPSK"/>
                <w:sz w:val="24"/>
              </w:rPr>
              <w:t>Customer expectations</w:t>
            </w:r>
          </w:p>
        </w:tc>
        <w:tc>
          <w:tcPr>
            <w:tcW w:w="1260" w:type="dxa"/>
            <w:tcBorders>
              <w:bottom w:val="single" w:sz="4" w:space="0" w:color="auto"/>
            </w:tcBorders>
            <w:vAlign w:val="center"/>
          </w:tcPr>
          <w:p w14:paraId="1D8C12DC"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0.270</w:t>
            </w:r>
          </w:p>
        </w:tc>
        <w:tc>
          <w:tcPr>
            <w:tcW w:w="1334" w:type="dxa"/>
            <w:tcBorders>
              <w:bottom w:val="single" w:sz="4" w:space="0" w:color="auto"/>
            </w:tcBorders>
            <w:vAlign w:val="center"/>
          </w:tcPr>
          <w:p w14:paraId="21BC4429"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0.032</w:t>
            </w:r>
          </w:p>
        </w:tc>
        <w:tc>
          <w:tcPr>
            <w:tcW w:w="1170" w:type="dxa"/>
            <w:tcBorders>
              <w:bottom w:val="single" w:sz="4" w:space="0" w:color="auto"/>
            </w:tcBorders>
            <w:vAlign w:val="center"/>
          </w:tcPr>
          <w:p w14:paraId="4E8FA240"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0.343</w:t>
            </w:r>
          </w:p>
        </w:tc>
        <w:tc>
          <w:tcPr>
            <w:tcW w:w="990" w:type="dxa"/>
            <w:tcBorders>
              <w:bottom w:val="single" w:sz="4" w:space="0" w:color="auto"/>
            </w:tcBorders>
            <w:vAlign w:val="center"/>
          </w:tcPr>
          <w:p w14:paraId="7750446B"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8.529</w:t>
            </w:r>
          </w:p>
        </w:tc>
        <w:tc>
          <w:tcPr>
            <w:tcW w:w="417" w:type="dxa"/>
            <w:tcBorders>
              <w:bottom w:val="single" w:sz="4" w:space="0" w:color="auto"/>
            </w:tcBorders>
            <w:vAlign w:val="center"/>
          </w:tcPr>
          <w:p w14:paraId="5D5DAE89" w14:textId="77777777" w:rsidR="007D39EB" w:rsidRPr="004E102C" w:rsidRDefault="007D39EB" w:rsidP="00A65D11">
            <w:pPr>
              <w:jc w:val="center"/>
              <w:rPr>
                <w:rFonts w:ascii="TH SarabunPSK" w:hAnsi="TH SarabunPSK" w:cs="TH SarabunPSK"/>
                <w:sz w:val="24"/>
              </w:rPr>
            </w:pPr>
            <w:r w:rsidRPr="004E102C">
              <w:rPr>
                <w:rFonts w:ascii="TH SarabunPSK" w:hAnsi="TH SarabunPSK" w:cs="TH SarabunPSK"/>
                <w:sz w:val="24"/>
              </w:rPr>
              <w:t>0.000</w:t>
            </w:r>
          </w:p>
        </w:tc>
      </w:tr>
    </w:tbl>
    <w:p w14:paraId="23274EF2" w14:textId="491D1247" w:rsidR="007D39EB" w:rsidRDefault="007D39EB" w:rsidP="00A65D11">
      <w:pPr>
        <w:ind w:firstLineChars="400" w:firstLine="960"/>
        <w:rPr>
          <w:rFonts w:ascii="TH SarabunPSK" w:eastAsia="Times New Roman" w:hAnsi="TH SarabunPSK" w:cs="TH SarabunPSK"/>
          <w:kern w:val="0"/>
          <w:sz w:val="28"/>
          <w:szCs w:val="28"/>
          <w:lang w:bidi="th-TH"/>
        </w:rPr>
      </w:pPr>
      <w:r w:rsidRPr="004E102C">
        <w:rPr>
          <w:rFonts w:ascii="TH SarabunPSK" w:hAnsi="TH SarabunPSK" w:cs="TH SarabunPSK"/>
          <w:sz w:val="24"/>
          <w14:ligatures w14:val="standardContextual"/>
        </w:rPr>
        <w:t>R²</w:t>
      </w:r>
      <w:r>
        <w:rPr>
          <w:rFonts w:ascii="TH SarabunPSK" w:hAnsi="TH SarabunPSK" w:cs="TH SarabunPSK"/>
          <w:sz w:val="24"/>
          <w14:ligatures w14:val="standardContextual"/>
        </w:rPr>
        <w:t xml:space="preserve"> = 0.484, </w:t>
      </w:r>
      <w:r w:rsidRPr="004E102C">
        <w:rPr>
          <w:rFonts w:ascii="TH SarabunPSK" w:hAnsi="TH SarabunPSK" w:cs="TH SarabunPSK"/>
          <w:sz w:val="24"/>
        </w:rPr>
        <w:t>Adj-</w:t>
      </w:r>
      <w:r w:rsidRPr="004E102C">
        <w:rPr>
          <w:rFonts w:ascii="TH SarabunPSK" w:hAnsi="TH SarabunPSK" w:cs="TH SarabunPSK"/>
          <w:sz w:val="24"/>
          <w14:ligatures w14:val="standardContextual"/>
        </w:rPr>
        <w:t>R</w:t>
      </w:r>
      <w:r>
        <w:rPr>
          <w:rFonts w:ascii="TH SarabunPSK" w:hAnsi="TH SarabunPSK" w:cs="TH SarabunPSK"/>
          <w:sz w:val="24"/>
          <w14:ligatures w14:val="standardContextual"/>
        </w:rPr>
        <w:t xml:space="preserve"> = 0.480, </w:t>
      </w:r>
      <w:r w:rsidRPr="004E102C">
        <w:rPr>
          <w:rFonts w:ascii="TH SarabunPSK" w:hAnsi="TH SarabunPSK" w:cs="TH SarabunPSK"/>
          <w:sz w:val="24"/>
        </w:rPr>
        <w:t>F</w:t>
      </w:r>
      <w:r>
        <w:rPr>
          <w:rFonts w:ascii="TH SarabunPSK" w:hAnsi="TH SarabunPSK" w:cs="TH SarabunPSK"/>
          <w:sz w:val="24"/>
        </w:rPr>
        <w:t xml:space="preserve"> = </w:t>
      </w:r>
      <w:r w:rsidRPr="004E102C">
        <w:rPr>
          <w:rFonts w:ascii="TH SarabunPSK" w:hAnsi="TH SarabunPSK" w:cs="TH SarabunPSK"/>
          <w:sz w:val="24"/>
        </w:rPr>
        <w:t>F(3,400)=123.759,p=0.000</w:t>
      </w:r>
    </w:p>
    <w:p w14:paraId="5525940B" w14:textId="09F1FA98" w:rsidR="0052000D" w:rsidRDefault="00545001" w:rsidP="00A65D11">
      <w:pPr>
        <w:ind w:firstLineChars="400" w:firstLine="1120"/>
        <w:rPr>
          <w:rFonts w:ascii="TH SarabunPSK" w:eastAsia="Times New Roman" w:hAnsi="TH SarabunPSK" w:cs="TH SarabunPSK"/>
          <w:kern w:val="0"/>
          <w:sz w:val="28"/>
          <w:szCs w:val="28"/>
          <w:lang w:bidi="th-TH"/>
        </w:rPr>
      </w:pPr>
      <w:r>
        <w:rPr>
          <w:rFonts w:ascii="TH SarabunPSK" w:eastAsia="Times New Roman" w:hAnsi="TH SarabunPSK" w:cs="TH SarabunPSK"/>
          <w:kern w:val="0"/>
          <w:sz w:val="28"/>
          <w:szCs w:val="28"/>
          <w:lang w:bidi="th-TH"/>
        </w:rPr>
        <w:t xml:space="preserve">Regression results indicate that perceived quality, </w:t>
      </w:r>
      <w:r>
        <w:rPr>
          <w:rFonts w:ascii="TH SarabunPSK" w:eastAsia="Times New Roman" w:hAnsi="TH SarabunPSK" w:cs="TH SarabunPSK"/>
          <w:kern w:val="0"/>
          <w:sz w:val="28"/>
          <w:szCs w:val="28"/>
          <w:lang w:bidi="th-TH"/>
        </w:rPr>
        <w:t>perceived value, and customer expectations significantly and positively affect student satisfaction with career guidance services. The model explains 48% of the variance (adjusted R² = 0.480), shows no multicollinearity or autocorrelation, and passes the F</w:t>
      </w:r>
      <w:r>
        <w:rPr>
          <w:rFonts w:ascii="TH SarabunPSK" w:eastAsia="Times New Roman" w:hAnsi="TH SarabunPSK" w:cs="TH SarabunPSK"/>
          <w:kern w:val="0"/>
          <w:sz w:val="28"/>
          <w:szCs w:val="28"/>
          <w:lang w:bidi="th-TH"/>
        </w:rPr>
        <w:t>-test, confirming strong overall model fit.</w:t>
      </w:r>
    </w:p>
    <w:p w14:paraId="1DAD590B" w14:textId="77777777" w:rsidR="0052000D" w:rsidRDefault="00545001" w:rsidP="00A65D11">
      <w:pPr>
        <w:rPr>
          <w:rFonts w:ascii="TH SarabunPSK" w:eastAsiaTheme="minorEastAsia" w:hAnsi="TH SarabunPSK" w:cs="TH SarabunPSK"/>
          <w:kern w:val="0"/>
          <w:sz w:val="32"/>
          <w:szCs w:val="32"/>
          <w:lang w:bidi="th-TH"/>
        </w:rPr>
      </w:pPr>
      <w:r>
        <w:rPr>
          <w:rFonts w:ascii="TH SarabunPSK" w:hAnsi="TH SarabunPSK" w:cs="TH SarabunPSK"/>
          <w:b/>
          <w:bCs/>
          <w:sz w:val="32"/>
          <w:szCs w:val="32"/>
        </w:rPr>
        <w:t xml:space="preserve">Table </w:t>
      </w:r>
      <w:r>
        <w:rPr>
          <w:rFonts w:ascii="TH SarabunPSK" w:hAnsi="TH SarabunPSK" w:cs="TH SarabunPSK" w:hint="eastAsia"/>
          <w:b/>
          <w:bCs/>
          <w:sz w:val="32"/>
          <w:szCs w:val="32"/>
        </w:rPr>
        <w:t xml:space="preserve">2 </w:t>
      </w:r>
      <w:r>
        <w:rPr>
          <w:rFonts w:ascii="TH SarabunPSK" w:eastAsiaTheme="minorEastAsia" w:hAnsi="TH SarabunPSK" w:cs="TH SarabunPSK"/>
          <w:kern w:val="0"/>
          <w:sz w:val="32"/>
          <w:szCs w:val="32"/>
          <w:lang w:bidi="th-TH"/>
        </w:rPr>
        <w:t>Results of the hypothesis test</w:t>
      </w:r>
    </w:p>
    <w:tbl>
      <w:tblPr>
        <w:tblW w:w="8140" w:type="dxa"/>
        <w:jc w:val="center"/>
        <w:tblLayout w:type="fixed"/>
        <w:tblCellMar>
          <w:top w:w="15" w:type="dxa"/>
          <w:left w:w="15" w:type="dxa"/>
          <w:bottom w:w="15" w:type="dxa"/>
          <w:right w:w="15" w:type="dxa"/>
        </w:tblCellMar>
        <w:tblLook w:val="04A0" w:firstRow="1" w:lastRow="0" w:firstColumn="1" w:lastColumn="0" w:noHBand="0" w:noVBand="1"/>
      </w:tblPr>
      <w:tblGrid>
        <w:gridCol w:w="1196"/>
        <w:gridCol w:w="5669"/>
        <w:gridCol w:w="1275"/>
      </w:tblGrid>
      <w:tr w:rsidR="0052000D" w:rsidRPr="004E102C" w14:paraId="5AA1DFD5" w14:textId="77777777" w:rsidTr="004E102C">
        <w:trPr>
          <w:trHeight w:val="319"/>
          <w:jc w:val="center"/>
        </w:trPr>
        <w:tc>
          <w:tcPr>
            <w:tcW w:w="1196" w:type="dxa"/>
            <w:tcBorders>
              <w:top w:val="single" w:sz="4" w:space="0" w:color="auto"/>
              <w:bottom w:val="single" w:sz="4" w:space="0" w:color="auto"/>
            </w:tcBorders>
            <w:vAlign w:val="center"/>
          </w:tcPr>
          <w:p w14:paraId="1E3DB5D1" w14:textId="77777777" w:rsidR="0052000D" w:rsidRPr="004E102C" w:rsidRDefault="00545001" w:rsidP="00A65D11">
            <w:pPr>
              <w:jc w:val="center"/>
              <w:rPr>
                <w:rFonts w:ascii="TH SarabunPSK" w:hAnsi="TH SarabunPSK" w:cs="TH SarabunPSK"/>
                <w:b/>
                <w:bCs/>
                <w:sz w:val="28"/>
                <w:szCs w:val="28"/>
              </w:rPr>
            </w:pPr>
            <w:r w:rsidRPr="004E102C">
              <w:rPr>
                <w:rFonts w:ascii="TH SarabunPSK" w:hAnsi="TH SarabunPSK" w:cs="TH SarabunPSK"/>
                <w:b/>
                <w:bCs/>
                <w:sz w:val="28"/>
                <w:szCs w:val="28"/>
              </w:rPr>
              <w:t>Hypothesis</w:t>
            </w:r>
          </w:p>
        </w:tc>
        <w:tc>
          <w:tcPr>
            <w:tcW w:w="5669" w:type="dxa"/>
            <w:tcBorders>
              <w:top w:val="single" w:sz="4" w:space="0" w:color="auto"/>
              <w:bottom w:val="single" w:sz="4" w:space="0" w:color="auto"/>
            </w:tcBorders>
            <w:vAlign w:val="center"/>
          </w:tcPr>
          <w:p w14:paraId="4074DCF5" w14:textId="77777777" w:rsidR="0052000D" w:rsidRPr="004E102C" w:rsidRDefault="00545001" w:rsidP="00A65D11">
            <w:pPr>
              <w:jc w:val="center"/>
              <w:rPr>
                <w:rFonts w:ascii="TH SarabunPSK" w:hAnsi="TH SarabunPSK" w:cs="TH SarabunPSK"/>
                <w:b/>
                <w:bCs/>
                <w:sz w:val="28"/>
                <w:szCs w:val="28"/>
              </w:rPr>
            </w:pPr>
            <w:r w:rsidRPr="004E102C">
              <w:rPr>
                <w:rFonts w:ascii="TH SarabunPSK" w:hAnsi="TH SarabunPSK" w:cs="TH SarabunPSK"/>
                <w:b/>
                <w:bCs/>
                <w:sz w:val="28"/>
                <w:szCs w:val="28"/>
              </w:rPr>
              <w:t>Hypothesis Content</w:t>
            </w:r>
          </w:p>
        </w:tc>
        <w:tc>
          <w:tcPr>
            <w:tcW w:w="1275" w:type="dxa"/>
            <w:tcBorders>
              <w:top w:val="single" w:sz="4" w:space="0" w:color="auto"/>
              <w:bottom w:val="single" w:sz="4" w:space="0" w:color="auto"/>
            </w:tcBorders>
            <w:vAlign w:val="center"/>
          </w:tcPr>
          <w:p w14:paraId="5E4D6829" w14:textId="77777777" w:rsidR="0052000D" w:rsidRPr="004E102C" w:rsidRDefault="00545001" w:rsidP="00A65D11">
            <w:pPr>
              <w:jc w:val="center"/>
              <w:rPr>
                <w:rFonts w:ascii="TH SarabunPSK" w:hAnsi="TH SarabunPSK" w:cs="TH SarabunPSK"/>
                <w:b/>
                <w:bCs/>
                <w:sz w:val="28"/>
                <w:szCs w:val="28"/>
              </w:rPr>
            </w:pPr>
            <w:r w:rsidRPr="004E102C">
              <w:rPr>
                <w:rFonts w:ascii="TH SarabunPSK" w:hAnsi="TH SarabunPSK" w:cs="TH SarabunPSK"/>
                <w:b/>
                <w:bCs/>
                <w:sz w:val="28"/>
                <w:szCs w:val="28"/>
              </w:rPr>
              <w:t>Result</w:t>
            </w:r>
          </w:p>
        </w:tc>
      </w:tr>
      <w:tr w:rsidR="0052000D" w:rsidRPr="004E102C" w14:paraId="375706CC" w14:textId="77777777" w:rsidTr="004E102C">
        <w:trPr>
          <w:trHeight w:val="534"/>
          <w:jc w:val="center"/>
        </w:trPr>
        <w:tc>
          <w:tcPr>
            <w:tcW w:w="1196" w:type="dxa"/>
            <w:tcBorders>
              <w:top w:val="single" w:sz="4" w:space="0" w:color="auto"/>
            </w:tcBorders>
            <w:vAlign w:val="center"/>
          </w:tcPr>
          <w:p w14:paraId="0F14E0A6"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H1</w:t>
            </w:r>
          </w:p>
        </w:tc>
        <w:tc>
          <w:tcPr>
            <w:tcW w:w="5669" w:type="dxa"/>
            <w:tcBorders>
              <w:top w:val="single" w:sz="4" w:space="0" w:color="auto"/>
            </w:tcBorders>
            <w:vAlign w:val="center"/>
          </w:tcPr>
          <w:p w14:paraId="2EFAF3DB" w14:textId="77777777" w:rsidR="0052000D" w:rsidRPr="004E102C" w:rsidRDefault="00545001" w:rsidP="00A65D11">
            <w:pPr>
              <w:jc w:val="left"/>
              <w:rPr>
                <w:rFonts w:ascii="TH SarabunPSK" w:hAnsi="TH SarabunPSK" w:cs="TH SarabunPSK"/>
                <w:sz w:val="28"/>
                <w:szCs w:val="28"/>
              </w:rPr>
            </w:pPr>
            <w:r w:rsidRPr="004E102C">
              <w:rPr>
                <w:rFonts w:ascii="TH SarabunPSK" w:hAnsi="TH SarabunPSK" w:cs="TH SarabunPSK"/>
                <w:sz w:val="28"/>
                <w:szCs w:val="28"/>
              </w:rPr>
              <w:t xml:space="preserve">There is a significantly positive-directional influence relationship between Perceived quality and Student satisfaction with </w:t>
            </w:r>
            <w:r w:rsidRPr="004E102C">
              <w:rPr>
                <w:rFonts w:ascii="TH SarabunPSK" w:hAnsi="TH SarabunPSK" w:cs="TH SarabunPSK"/>
                <w:sz w:val="28"/>
                <w:szCs w:val="28"/>
              </w:rPr>
              <w:t>college career guidance services</w:t>
            </w:r>
          </w:p>
        </w:tc>
        <w:tc>
          <w:tcPr>
            <w:tcW w:w="1275" w:type="dxa"/>
            <w:tcBorders>
              <w:top w:val="single" w:sz="4" w:space="0" w:color="auto"/>
            </w:tcBorders>
            <w:vAlign w:val="center"/>
          </w:tcPr>
          <w:p w14:paraId="6C69F132"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Accepted</w:t>
            </w:r>
          </w:p>
        </w:tc>
      </w:tr>
      <w:tr w:rsidR="0052000D" w:rsidRPr="004E102C" w14:paraId="30FCB757" w14:textId="77777777" w:rsidTr="004E102C">
        <w:trPr>
          <w:trHeight w:val="534"/>
          <w:jc w:val="center"/>
        </w:trPr>
        <w:tc>
          <w:tcPr>
            <w:tcW w:w="1196" w:type="dxa"/>
            <w:vAlign w:val="center"/>
          </w:tcPr>
          <w:p w14:paraId="20AC8EDC"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H2</w:t>
            </w:r>
          </w:p>
        </w:tc>
        <w:tc>
          <w:tcPr>
            <w:tcW w:w="5669" w:type="dxa"/>
            <w:vAlign w:val="center"/>
          </w:tcPr>
          <w:p w14:paraId="16F16418" w14:textId="77777777" w:rsidR="0052000D" w:rsidRPr="004E102C" w:rsidRDefault="00545001" w:rsidP="00A65D11">
            <w:pPr>
              <w:jc w:val="left"/>
              <w:rPr>
                <w:rFonts w:ascii="TH SarabunPSK" w:hAnsi="TH SarabunPSK" w:cs="TH SarabunPSK"/>
                <w:sz w:val="28"/>
                <w:szCs w:val="28"/>
              </w:rPr>
            </w:pPr>
            <w:r w:rsidRPr="004E102C">
              <w:rPr>
                <w:rFonts w:ascii="TH SarabunPSK" w:hAnsi="TH SarabunPSK" w:cs="TH SarabunPSK"/>
                <w:sz w:val="28"/>
                <w:szCs w:val="28"/>
              </w:rPr>
              <w:t>There is a significantly positive-directional influence relationship between Perceived value and Student satisfaction with college career guidance services</w:t>
            </w:r>
          </w:p>
        </w:tc>
        <w:tc>
          <w:tcPr>
            <w:tcW w:w="1275" w:type="dxa"/>
            <w:vAlign w:val="center"/>
          </w:tcPr>
          <w:p w14:paraId="45999BD9"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Accepted</w:t>
            </w:r>
          </w:p>
        </w:tc>
      </w:tr>
      <w:tr w:rsidR="0052000D" w:rsidRPr="004E102C" w14:paraId="4B0AD2B8" w14:textId="77777777" w:rsidTr="004E102C">
        <w:trPr>
          <w:trHeight w:val="534"/>
          <w:jc w:val="center"/>
        </w:trPr>
        <w:tc>
          <w:tcPr>
            <w:tcW w:w="1196" w:type="dxa"/>
            <w:tcBorders>
              <w:bottom w:val="single" w:sz="4" w:space="0" w:color="auto"/>
            </w:tcBorders>
            <w:vAlign w:val="center"/>
          </w:tcPr>
          <w:p w14:paraId="6A124079"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H3</w:t>
            </w:r>
          </w:p>
        </w:tc>
        <w:tc>
          <w:tcPr>
            <w:tcW w:w="5669" w:type="dxa"/>
            <w:tcBorders>
              <w:bottom w:val="single" w:sz="4" w:space="0" w:color="auto"/>
            </w:tcBorders>
            <w:vAlign w:val="center"/>
          </w:tcPr>
          <w:p w14:paraId="594040D1" w14:textId="77777777" w:rsidR="0052000D" w:rsidRPr="004E102C" w:rsidRDefault="00545001" w:rsidP="00A65D11">
            <w:pPr>
              <w:jc w:val="left"/>
              <w:rPr>
                <w:rFonts w:ascii="TH SarabunPSK" w:hAnsi="TH SarabunPSK" w:cs="TH SarabunPSK"/>
                <w:sz w:val="28"/>
                <w:szCs w:val="28"/>
              </w:rPr>
            </w:pPr>
            <w:r w:rsidRPr="004E102C">
              <w:rPr>
                <w:rFonts w:ascii="TH SarabunPSK" w:hAnsi="TH SarabunPSK" w:cs="TH SarabunPSK"/>
                <w:sz w:val="28"/>
                <w:szCs w:val="28"/>
              </w:rPr>
              <w:t xml:space="preserve">There is a significantly </w:t>
            </w:r>
            <w:r w:rsidRPr="004E102C">
              <w:rPr>
                <w:rFonts w:ascii="TH SarabunPSK" w:hAnsi="TH SarabunPSK" w:cs="TH SarabunPSK"/>
                <w:sz w:val="28"/>
                <w:szCs w:val="28"/>
              </w:rPr>
              <w:t>positive-directional influence relationship between Customer expectations and Student satisfaction with college career guidance services</w:t>
            </w:r>
          </w:p>
        </w:tc>
        <w:tc>
          <w:tcPr>
            <w:tcW w:w="1275" w:type="dxa"/>
            <w:tcBorders>
              <w:bottom w:val="single" w:sz="4" w:space="0" w:color="auto"/>
            </w:tcBorders>
            <w:vAlign w:val="center"/>
          </w:tcPr>
          <w:p w14:paraId="11036A1F" w14:textId="77777777" w:rsidR="0052000D" w:rsidRPr="004E102C" w:rsidRDefault="00545001" w:rsidP="00A65D11">
            <w:pPr>
              <w:jc w:val="center"/>
              <w:rPr>
                <w:rFonts w:ascii="TH SarabunPSK" w:hAnsi="TH SarabunPSK" w:cs="TH SarabunPSK"/>
                <w:sz w:val="28"/>
                <w:szCs w:val="28"/>
              </w:rPr>
            </w:pPr>
            <w:r w:rsidRPr="004E102C">
              <w:rPr>
                <w:rFonts w:ascii="TH SarabunPSK" w:hAnsi="TH SarabunPSK" w:cs="TH SarabunPSK"/>
                <w:sz w:val="28"/>
                <w:szCs w:val="28"/>
              </w:rPr>
              <w:t>Accepted</w:t>
            </w:r>
          </w:p>
        </w:tc>
      </w:tr>
    </w:tbl>
    <w:p w14:paraId="7942C42B" w14:textId="77777777" w:rsidR="0052000D" w:rsidRDefault="00545001" w:rsidP="00A65D11">
      <w:pPr>
        <w:pStyle w:val="a6"/>
        <w:widowControl/>
        <w:tabs>
          <w:tab w:val="left" w:pos="-220"/>
        </w:tabs>
        <w:ind w:leftChars="-100" w:left="-210" w:rightChars="-211" w:right="-443" w:firstLine="720"/>
        <w:rPr>
          <w:rFonts w:ascii="TH SarabunPSK" w:eastAsiaTheme="minorEastAsia" w:hAnsi="TH SarabunPSK" w:cs="TH SarabunPSK"/>
          <w:kern w:val="0"/>
          <w:sz w:val="28"/>
          <w:lang w:bidi="th-TH"/>
        </w:rPr>
      </w:pPr>
      <w:r>
        <w:rPr>
          <w:rFonts w:ascii="TH SarabunPSK" w:eastAsiaTheme="minorEastAsia" w:hAnsi="TH SarabunPSK" w:cs="TH SarabunPSK"/>
          <w:kern w:val="0"/>
          <w:sz w:val="28"/>
          <w:lang w:bidi="th-TH"/>
        </w:rPr>
        <w:t>The empirical results support all proposed hypotheses. Perceived quality, perceived value, and customer expec</w:t>
      </w:r>
      <w:r>
        <w:rPr>
          <w:rFonts w:ascii="TH SarabunPSK" w:eastAsiaTheme="minorEastAsia" w:hAnsi="TH SarabunPSK" w:cs="TH SarabunPSK"/>
          <w:kern w:val="0"/>
          <w:sz w:val="28"/>
          <w:lang w:bidi="th-TH"/>
        </w:rPr>
        <w:t>tations each have a significant positive influence on student satisfaction with college career guidance services, confirming the effectiveness of the proposed research model.</w:t>
      </w:r>
    </w:p>
    <w:p w14:paraId="116C91F8" w14:textId="77777777" w:rsidR="0052000D" w:rsidRDefault="00545001" w:rsidP="00A65D11">
      <w:pPr>
        <w:pStyle w:val="a6"/>
        <w:widowControl/>
        <w:tabs>
          <w:tab w:val="left" w:pos="-220"/>
        </w:tabs>
        <w:ind w:leftChars="-100" w:left="-210" w:rightChars="-211" w:right="-443"/>
        <w:rPr>
          <w:rFonts w:ascii="TH SarabunPSK" w:eastAsiaTheme="minorEastAsia" w:hAnsi="TH SarabunPSK" w:cs="TH SarabunPSK"/>
          <w:b/>
          <w:kern w:val="0"/>
          <w:sz w:val="32"/>
          <w:szCs w:val="32"/>
          <w:lang w:bidi="th-TH"/>
        </w:rPr>
      </w:pPr>
      <w:r>
        <w:rPr>
          <w:rFonts w:ascii="TH SarabunPSK" w:eastAsiaTheme="minorEastAsia" w:hAnsi="TH SarabunPSK" w:cs="TH SarabunPSK"/>
          <w:b/>
          <w:kern w:val="0"/>
          <w:sz w:val="32"/>
          <w:szCs w:val="32"/>
          <w:lang w:bidi="th-TH"/>
        </w:rPr>
        <w:t>Summary, Discussion, and Recommendations</w:t>
      </w:r>
    </w:p>
    <w:p w14:paraId="0D28A3C0" w14:textId="77777777" w:rsidR="0052000D" w:rsidRDefault="00545001" w:rsidP="00A65D11">
      <w:pPr>
        <w:pStyle w:val="a6"/>
        <w:widowControl/>
        <w:tabs>
          <w:tab w:val="left" w:pos="-220"/>
        </w:tabs>
        <w:ind w:leftChars="-100" w:left="-210" w:rightChars="-211" w:right="-443" w:firstLine="720"/>
        <w:rPr>
          <w:rFonts w:ascii="TH SarabunPSK" w:eastAsiaTheme="minorEastAsia" w:hAnsi="TH SarabunPSK" w:cs="TH SarabunPSK"/>
          <w:kern w:val="0"/>
          <w:sz w:val="28"/>
          <w:lang w:bidi="th-TH"/>
        </w:rPr>
      </w:pPr>
      <w:r>
        <w:rPr>
          <w:rFonts w:ascii="TH SarabunPSK" w:eastAsiaTheme="minorEastAsia" w:hAnsi="TH SarabunPSK" w:cs="TH SarabunPSK" w:hint="eastAsia"/>
          <w:kern w:val="0"/>
          <w:sz w:val="28"/>
          <w:lang w:bidi="th-TH"/>
        </w:rPr>
        <w:t xml:space="preserve">This chapter analyzes </w:t>
      </w:r>
      <w:r>
        <w:rPr>
          <w:rFonts w:ascii="TH SarabunPSK" w:eastAsiaTheme="minorEastAsia" w:hAnsi="TH SarabunPSK" w:cs="TH SarabunPSK" w:hint="eastAsia"/>
          <w:kern w:val="0"/>
          <w:sz w:val="28"/>
          <w:lang w:bidi="th-TH"/>
        </w:rPr>
        <w:t>questionnaire data using descriptive statistics and regression analysis. Overall, students report medium-to-high satisfaction with career guidance services, indicating general recognition but room for improvement. Participation is highest in practical serv</w:t>
      </w:r>
      <w:r>
        <w:rPr>
          <w:rFonts w:ascii="TH SarabunPSK" w:eastAsiaTheme="minorEastAsia" w:hAnsi="TH SarabunPSK" w:cs="TH SarabunPSK" w:hint="eastAsia"/>
          <w:kern w:val="0"/>
          <w:sz w:val="28"/>
          <w:lang w:bidi="th-TH"/>
        </w:rPr>
        <w:t>ices such as internships and employment lectures, while demand for personalized guidance remains strong.</w:t>
      </w:r>
    </w:p>
    <w:p w14:paraId="6B1EA941" w14:textId="77777777" w:rsidR="0052000D" w:rsidRDefault="00545001" w:rsidP="00A65D11">
      <w:pPr>
        <w:pStyle w:val="a6"/>
        <w:widowControl/>
        <w:tabs>
          <w:tab w:val="left" w:pos="-220"/>
        </w:tabs>
        <w:ind w:leftChars="-100" w:left="-210" w:rightChars="-211" w:right="-443" w:firstLine="720"/>
        <w:rPr>
          <w:b/>
          <w:bCs/>
          <w:sz w:val="32"/>
          <w:szCs w:val="32"/>
        </w:rPr>
      </w:pPr>
      <w:r>
        <w:rPr>
          <w:rFonts w:ascii="TH SarabunPSK" w:eastAsiaTheme="minorEastAsia" w:hAnsi="TH SarabunPSK" w:cs="TH SarabunPSK" w:hint="eastAsia"/>
          <w:kern w:val="0"/>
          <w:sz w:val="28"/>
          <w:lang w:bidi="th-TH"/>
        </w:rPr>
        <w:t xml:space="preserve">Regression results show that perceived quality, perceived value, and customer expectations have significant positive effects on student </w:t>
      </w:r>
      <w:r>
        <w:rPr>
          <w:rFonts w:ascii="TH SarabunPSK" w:eastAsiaTheme="minorEastAsia" w:hAnsi="TH SarabunPSK" w:cs="TH SarabunPSK" w:hint="eastAsia"/>
          <w:kern w:val="0"/>
          <w:sz w:val="28"/>
          <w:lang w:bidi="th-TH"/>
        </w:rPr>
        <w:t>satisfaction, explaining 48.0% of the variance. All hypotheses are supported, validating the applicability of the ACSI model in vocational higher education. However, limited service diversity and personalization remain key issues. Future studies should exp</w:t>
      </w:r>
      <w:r>
        <w:rPr>
          <w:rFonts w:ascii="TH SarabunPSK" w:eastAsiaTheme="minorEastAsia" w:hAnsi="TH SarabunPSK" w:cs="TH SarabunPSK" w:hint="eastAsia"/>
          <w:kern w:val="0"/>
          <w:sz w:val="28"/>
          <w:lang w:bidi="th-TH"/>
        </w:rPr>
        <w:t>and samples and methods, while universities should enhance service innovation and precision to improve guidance effectiveness.</w:t>
      </w:r>
    </w:p>
    <w:p w14:paraId="49C1B49A" w14:textId="556CDECB" w:rsidR="0052000D" w:rsidRPr="004E102C" w:rsidRDefault="004E102C" w:rsidP="00A65D11">
      <w:pPr>
        <w:rPr>
          <w:rFonts w:ascii="TH SarabunPSK" w:hAnsi="TH SarabunPSK" w:cs="TH SarabunPSK"/>
          <w:sz w:val="32"/>
          <w:szCs w:val="32"/>
        </w:rPr>
      </w:pPr>
      <w:r w:rsidRPr="004E102C">
        <w:rPr>
          <w:rFonts w:ascii="TH SarabunPSK" w:hAnsi="TH SarabunPSK" w:cs="TH SarabunPSK"/>
          <w:b/>
          <w:bCs/>
          <w:sz w:val="32"/>
          <w:szCs w:val="32"/>
        </w:rPr>
        <w:t>References</w:t>
      </w:r>
    </w:p>
    <w:p w14:paraId="273A66EA" w14:textId="77777777" w:rsidR="0052000D" w:rsidRPr="004E102C" w:rsidRDefault="00545001" w:rsidP="00A65D11">
      <w:pPr>
        <w:widowControl/>
        <w:spacing w:after="200"/>
        <w:ind w:left="720" w:hanging="720"/>
        <w:rPr>
          <w:rFonts w:ascii="TH SarabunPSK" w:hAnsi="TH SarabunPSK" w:cs="TH SarabunPSK"/>
          <w:kern w:val="0"/>
          <w:sz w:val="28"/>
          <w:szCs w:val="28"/>
          <w:lang w:bidi="ar"/>
        </w:rPr>
      </w:pPr>
      <w:r w:rsidRPr="004E102C">
        <w:rPr>
          <w:rFonts w:ascii="TH SarabunPSK" w:hAnsi="TH SarabunPSK" w:cs="TH SarabunPSK"/>
          <w:kern w:val="0"/>
          <w:sz w:val="28"/>
          <w:szCs w:val="28"/>
          <w:lang w:bidi="ar"/>
        </w:rPr>
        <w:t>Huang, L. X., &amp; Mo, G. F. (2024). Employment difficulties and solutions for college graduates: A case study of Guangxi</w:t>
      </w:r>
      <w:r w:rsidRPr="004E102C">
        <w:rPr>
          <w:rFonts w:ascii="TH SarabunPSK" w:hAnsi="TH SarabunPSK" w:cs="TH SarabunPSK"/>
          <w:kern w:val="0"/>
          <w:sz w:val="28"/>
          <w:szCs w:val="28"/>
          <w:lang w:bidi="ar"/>
        </w:rPr>
        <w:t xml:space="preserve"> Zhuang Autonomous Region. </w:t>
      </w:r>
      <w:r w:rsidRPr="004E102C">
        <w:rPr>
          <w:rFonts w:ascii="TH SarabunPSK" w:hAnsi="TH SarabunPSK" w:cs="TH SarabunPSK"/>
          <w:i/>
          <w:iCs/>
          <w:kern w:val="0"/>
          <w:sz w:val="28"/>
          <w:szCs w:val="28"/>
          <w:lang w:bidi="ar"/>
        </w:rPr>
        <w:t>Employment and Security</w:t>
      </w:r>
      <w:r w:rsidRPr="004E102C">
        <w:rPr>
          <w:rFonts w:ascii="TH SarabunPSK" w:hAnsi="TH SarabunPSK" w:cs="TH SarabunPSK"/>
          <w:kern w:val="0"/>
          <w:sz w:val="28"/>
          <w:szCs w:val="28"/>
          <w:lang w:bidi="ar"/>
        </w:rPr>
        <w:t>, (9), 40–42.</w:t>
      </w:r>
    </w:p>
    <w:p w14:paraId="068AF93A" w14:textId="77777777" w:rsidR="0052000D" w:rsidRPr="004E102C" w:rsidRDefault="00545001" w:rsidP="00A65D11">
      <w:pPr>
        <w:widowControl/>
        <w:spacing w:after="200"/>
        <w:ind w:left="720" w:hanging="720"/>
        <w:rPr>
          <w:rFonts w:ascii="TH SarabunPSK" w:hAnsi="TH SarabunPSK" w:cs="TH SarabunPSK"/>
          <w:kern w:val="0"/>
          <w:sz w:val="28"/>
          <w:szCs w:val="28"/>
          <w:lang w:bidi="ar"/>
        </w:rPr>
      </w:pPr>
      <w:r w:rsidRPr="004E102C">
        <w:rPr>
          <w:rFonts w:ascii="TH SarabunPSK" w:hAnsi="TH SarabunPSK" w:cs="TH SarabunPSK"/>
          <w:kern w:val="0"/>
          <w:sz w:val="28"/>
          <w:szCs w:val="28"/>
          <w:lang w:bidi="ar"/>
        </w:rPr>
        <w:t xml:space="preserve">Wang, Y. (2022). The impact of employment pressure on employment coping styles among college graduates: The mediating role of employment guidance service satisfaction. </w:t>
      </w:r>
      <w:r w:rsidRPr="004E102C">
        <w:rPr>
          <w:rFonts w:ascii="TH SarabunPSK" w:hAnsi="TH SarabunPSK" w:cs="TH SarabunPSK"/>
          <w:i/>
          <w:iCs/>
          <w:kern w:val="0"/>
          <w:sz w:val="28"/>
          <w:szCs w:val="28"/>
          <w:lang w:bidi="ar"/>
        </w:rPr>
        <w:t>China University Student</w:t>
      </w:r>
      <w:r w:rsidRPr="004E102C">
        <w:rPr>
          <w:rFonts w:ascii="TH SarabunPSK" w:hAnsi="TH SarabunPSK" w:cs="TH SarabunPSK"/>
          <w:i/>
          <w:iCs/>
          <w:kern w:val="0"/>
          <w:sz w:val="28"/>
          <w:szCs w:val="28"/>
          <w:lang w:bidi="ar"/>
        </w:rPr>
        <w:t>s Employment</w:t>
      </w:r>
      <w:r w:rsidRPr="004E102C">
        <w:rPr>
          <w:rFonts w:ascii="TH SarabunPSK" w:hAnsi="TH SarabunPSK" w:cs="TH SarabunPSK"/>
          <w:kern w:val="0"/>
          <w:sz w:val="28"/>
          <w:szCs w:val="28"/>
          <w:lang w:bidi="ar"/>
        </w:rPr>
        <w:t>, (07), 47–57. https://doi.org/10.20017/j.cnki.1009-0576.2022.07.007</w:t>
      </w:r>
    </w:p>
    <w:p w14:paraId="1C87CDDC"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Westbrook, R. A., &amp; Reilly, M. D. (1983). Value-percept disparity: An alternative to the disconfirmation of expectations theory of consumer satisfaction. In R. P. Bagozzi &amp; A.</w:t>
      </w:r>
      <w:r w:rsidRPr="004E102C">
        <w:rPr>
          <w:rFonts w:ascii="TH SarabunPSK" w:hAnsi="TH SarabunPSK" w:cs="TH SarabunPSK"/>
          <w:kern w:val="0"/>
          <w:sz w:val="28"/>
          <w:szCs w:val="28"/>
          <w:lang w:bidi="ar"/>
        </w:rPr>
        <w:t xml:space="preserve"> M. </w:t>
      </w:r>
      <w:proofErr w:type="spellStart"/>
      <w:r w:rsidRPr="004E102C">
        <w:rPr>
          <w:rFonts w:ascii="TH SarabunPSK" w:hAnsi="TH SarabunPSK" w:cs="TH SarabunPSK"/>
          <w:kern w:val="0"/>
          <w:sz w:val="28"/>
          <w:szCs w:val="28"/>
          <w:lang w:bidi="ar"/>
        </w:rPr>
        <w:t>Tybout</w:t>
      </w:r>
      <w:proofErr w:type="spellEnd"/>
      <w:r w:rsidRPr="004E102C">
        <w:rPr>
          <w:rFonts w:ascii="TH SarabunPSK" w:hAnsi="TH SarabunPSK" w:cs="TH SarabunPSK"/>
          <w:kern w:val="0"/>
          <w:sz w:val="28"/>
          <w:szCs w:val="28"/>
          <w:lang w:bidi="ar"/>
        </w:rPr>
        <w:t xml:space="preserve"> (Eds.), </w:t>
      </w:r>
      <w:r w:rsidRPr="004E102C">
        <w:rPr>
          <w:rFonts w:ascii="TH SarabunPSK" w:hAnsi="TH SarabunPSK" w:cs="TH SarabunPSK"/>
          <w:i/>
          <w:iCs/>
          <w:kern w:val="0"/>
          <w:sz w:val="28"/>
          <w:szCs w:val="28"/>
          <w:lang w:bidi="ar"/>
        </w:rPr>
        <w:t>Advances in consumer research</w:t>
      </w:r>
      <w:r w:rsidRPr="004E102C">
        <w:rPr>
          <w:rFonts w:ascii="TH SarabunPSK" w:hAnsi="TH SarabunPSK" w:cs="TH SarabunPSK"/>
          <w:kern w:val="0"/>
          <w:sz w:val="28"/>
          <w:szCs w:val="28"/>
          <w:lang w:bidi="ar"/>
        </w:rPr>
        <w:t xml:space="preserve"> (Vol. 10, pp. 256–261). Association for Consumer Research.</w:t>
      </w:r>
    </w:p>
    <w:p w14:paraId="20F135B5"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 xml:space="preserve">Oliva, T. A., Oliver, R. L., &amp; MacMillan, I. C. (1992). A catastrophe model for developing service satisfaction strategies. </w:t>
      </w:r>
      <w:r w:rsidRPr="004E102C">
        <w:rPr>
          <w:rFonts w:ascii="TH SarabunPSK" w:hAnsi="TH SarabunPSK" w:cs="TH SarabunPSK"/>
          <w:i/>
          <w:iCs/>
          <w:kern w:val="0"/>
          <w:sz w:val="28"/>
          <w:szCs w:val="28"/>
          <w:lang w:bidi="ar"/>
        </w:rPr>
        <w:t>Journal of Marketing</w:t>
      </w:r>
      <w:r w:rsidRPr="004E102C">
        <w:rPr>
          <w:rFonts w:ascii="TH SarabunPSK" w:hAnsi="TH SarabunPSK" w:cs="TH SarabunPSK"/>
          <w:kern w:val="0"/>
          <w:sz w:val="28"/>
          <w:szCs w:val="28"/>
          <w:lang w:bidi="ar"/>
        </w:rPr>
        <w:t>, 56</w:t>
      </w:r>
      <w:r w:rsidRPr="004E102C">
        <w:rPr>
          <w:rFonts w:ascii="TH SarabunPSK" w:hAnsi="TH SarabunPSK" w:cs="TH SarabunPSK"/>
          <w:kern w:val="0"/>
          <w:sz w:val="28"/>
          <w:szCs w:val="28"/>
          <w:lang w:bidi="ar"/>
        </w:rPr>
        <w:t>(3), 83–95. https://doi.org/10.1177/002224299205600306</w:t>
      </w:r>
    </w:p>
    <w:p w14:paraId="60A630DA"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 xml:space="preserve">Wu, L. (2020). </w:t>
      </w:r>
      <w:r w:rsidRPr="004E102C">
        <w:rPr>
          <w:rFonts w:ascii="TH SarabunPSK" w:hAnsi="TH SarabunPSK" w:cs="TH SarabunPSK"/>
          <w:i/>
          <w:iCs/>
          <w:kern w:val="0"/>
          <w:sz w:val="28"/>
          <w:szCs w:val="28"/>
          <w:lang w:bidi="ar"/>
        </w:rPr>
        <w:t>Evaluation of mass sports event services based on the customer satisfaction index model</w:t>
      </w:r>
      <w:r w:rsidRPr="004E102C">
        <w:rPr>
          <w:rFonts w:ascii="TH SarabunPSK" w:hAnsi="TH SarabunPSK" w:cs="TH SarabunPSK"/>
          <w:kern w:val="0"/>
          <w:sz w:val="28"/>
          <w:szCs w:val="28"/>
          <w:lang w:bidi="ar"/>
        </w:rPr>
        <w:t xml:space="preserve"> [Master's thesis, Chengdu Sport University]. https://doi.org/10.26987/d.cnki.gcdtc.2020.000017</w:t>
      </w:r>
    </w:p>
    <w:p w14:paraId="62ACFBB3" w14:textId="77777777" w:rsidR="0052000D" w:rsidRPr="004E102C" w:rsidRDefault="00545001" w:rsidP="00A65D11">
      <w:pPr>
        <w:widowControl/>
        <w:spacing w:after="200"/>
        <w:ind w:left="720" w:hanging="720"/>
        <w:rPr>
          <w:rFonts w:ascii="TH SarabunPSK" w:hAnsi="TH SarabunPSK" w:cs="TH SarabunPSK"/>
          <w:sz w:val="28"/>
          <w:szCs w:val="28"/>
        </w:rPr>
      </w:pPr>
      <w:r w:rsidRPr="004E102C">
        <w:rPr>
          <w:rFonts w:ascii="TH SarabunPSK" w:hAnsi="TH SarabunPSK" w:cs="TH SarabunPSK"/>
          <w:kern w:val="0"/>
          <w:sz w:val="28"/>
          <w:szCs w:val="28"/>
          <w:lang w:bidi="ar"/>
        </w:rPr>
        <w:t>For</w:t>
      </w:r>
      <w:r w:rsidRPr="004E102C">
        <w:rPr>
          <w:rFonts w:ascii="TH SarabunPSK" w:hAnsi="TH SarabunPSK" w:cs="TH SarabunPSK"/>
          <w:kern w:val="0"/>
          <w:sz w:val="28"/>
          <w:szCs w:val="28"/>
          <w:lang w:bidi="ar"/>
        </w:rPr>
        <w:t xml:space="preserve">nell, C., Johnson, M. D., Anderson, E. W., Cha, J., &amp; Bryant, B. E. (1996). The American customer satisfaction index: Nature, purpose, and findings. </w:t>
      </w:r>
      <w:r w:rsidRPr="004E102C">
        <w:rPr>
          <w:rFonts w:ascii="TH SarabunPSK" w:hAnsi="TH SarabunPSK" w:cs="TH SarabunPSK"/>
          <w:i/>
          <w:iCs/>
          <w:kern w:val="0"/>
          <w:sz w:val="28"/>
          <w:szCs w:val="28"/>
          <w:lang w:bidi="ar"/>
        </w:rPr>
        <w:t>Journal of Marketing</w:t>
      </w:r>
      <w:r w:rsidRPr="004E102C">
        <w:rPr>
          <w:rFonts w:ascii="TH SarabunPSK" w:hAnsi="TH SarabunPSK" w:cs="TH SarabunPSK"/>
          <w:kern w:val="0"/>
          <w:sz w:val="28"/>
          <w:szCs w:val="28"/>
          <w:lang w:bidi="ar"/>
        </w:rPr>
        <w:t>, 60(4), 7–18. https://doi.org/10.1177/002224299606000403</w:t>
      </w:r>
    </w:p>
    <w:p w14:paraId="2141006F"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 xml:space="preserve">Zhang, Q. X. (2018). </w:t>
      </w:r>
      <w:r w:rsidRPr="004E102C">
        <w:rPr>
          <w:rFonts w:ascii="TH SarabunPSK" w:hAnsi="TH SarabunPSK" w:cs="TH SarabunPSK"/>
          <w:i/>
          <w:iCs/>
          <w:kern w:val="0"/>
          <w:sz w:val="28"/>
          <w:szCs w:val="28"/>
          <w:lang w:bidi="ar"/>
        </w:rPr>
        <w:t>Research</w:t>
      </w:r>
      <w:r w:rsidRPr="004E102C">
        <w:rPr>
          <w:rFonts w:ascii="TH SarabunPSK" w:hAnsi="TH SarabunPSK" w:cs="TH SarabunPSK"/>
          <w:i/>
          <w:iCs/>
          <w:kern w:val="0"/>
          <w:sz w:val="28"/>
          <w:szCs w:val="28"/>
          <w:lang w:bidi="ar"/>
        </w:rPr>
        <w:t xml:space="preserve"> on satisfaction with university employment guidance services based on ACSI model</w:t>
      </w:r>
      <w:r w:rsidRPr="004E102C">
        <w:rPr>
          <w:rFonts w:ascii="TH SarabunPSK" w:hAnsi="TH SarabunPSK" w:cs="TH SarabunPSK"/>
          <w:kern w:val="0"/>
          <w:sz w:val="28"/>
          <w:szCs w:val="28"/>
          <w:lang w:bidi="ar"/>
        </w:rPr>
        <w:t xml:space="preserve"> [Master's thesis, Nanjing University of Posts and Telecommunications].</w:t>
      </w:r>
    </w:p>
    <w:p w14:paraId="55BA6635"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Du, X. B., &amp; Guo, X. B. (2021). An empirical study on student satisfaction with university employment g</w:t>
      </w:r>
      <w:r w:rsidRPr="004E102C">
        <w:rPr>
          <w:rFonts w:ascii="TH SarabunPSK" w:hAnsi="TH SarabunPSK" w:cs="TH SarabunPSK"/>
          <w:kern w:val="0"/>
          <w:sz w:val="28"/>
          <w:szCs w:val="28"/>
          <w:lang w:bidi="ar"/>
        </w:rPr>
        <w:t xml:space="preserve">uidance services. </w:t>
      </w:r>
      <w:r w:rsidRPr="004E102C">
        <w:rPr>
          <w:rFonts w:ascii="TH SarabunPSK" w:hAnsi="TH SarabunPSK" w:cs="TH SarabunPSK"/>
          <w:i/>
          <w:iCs/>
          <w:kern w:val="0"/>
          <w:sz w:val="28"/>
          <w:szCs w:val="28"/>
          <w:lang w:bidi="ar"/>
        </w:rPr>
        <w:t>Journal of Beijing Institute of Economic Management</w:t>
      </w:r>
      <w:r w:rsidRPr="004E102C">
        <w:rPr>
          <w:rFonts w:ascii="TH SarabunPSK" w:hAnsi="TH SarabunPSK" w:cs="TH SarabunPSK"/>
          <w:kern w:val="0"/>
          <w:sz w:val="28"/>
          <w:szCs w:val="28"/>
          <w:lang w:bidi="ar"/>
        </w:rPr>
        <w:t>, 36(04), 67–73.</w:t>
      </w:r>
    </w:p>
    <w:p w14:paraId="6AEFEED2"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 xml:space="preserve">Chen, J. (2024). Research on evaluation and improvement path of university employment service quality based on IPA analysis. </w:t>
      </w:r>
      <w:r w:rsidRPr="004E102C">
        <w:rPr>
          <w:rFonts w:ascii="TH SarabunPSK" w:hAnsi="TH SarabunPSK" w:cs="TH SarabunPSK"/>
          <w:i/>
          <w:iCs/>
          <w:kern w:val="0"/>
          <w:sz w:val="28"/>
          <w:szCs w:val="28"/>
          <w:lang w:bidi="ar"/>
        </w:rPr>
        <w:t xml:space="preserve">Chinese Scientific Journal Database </w:t>
      </w:r>
      <w:r w:rsidRPr="004E102C">
        <w:rPr>
          <w:rFonts w:ascii="TH SarabunPSK" w:hAnsi="TH SarabunPSK" w:cs="TH SarabunPSK"/>
          <w:i/>
          <w:iCs/>
          <w:kern w:val="0"/>
          <w:sz w:val="28"/>
          <w:szCs w:val="28"/>
          <w:lang w:bidi="ar"/>
        </w:rPr>
        <w:t>(Full Text Edition) Educational Science</w:t>
      </w:r>
      <w:r w:rsidRPr="004E102C">
        <w:rPr>
          <w:rFonts w:ascii="TH SarabunPSK" w:hAnsi="TH SarabunPSK" w:cs="TH SarabunPSK"/>
          <w:kern w:val="0"/>
          <w:sz w:val="28"/>
          <w:szCs w:val="28"/>
          <w:lang w:bidi="ar"/>
        </w:rPr>
        <w:t>, (4), 0120–0124.</w:t>
      </w:r>
    </w:p>
    <w:p w14:paraId="11A9D9E4" w14:textId="77777777" w:rsidR="0052000D" w:rsidRPr="004E102C" w:rsidRDefault="00545001" w:rsidP="00A65D11">
      <w:pPr>
        <w:widowControl/>
        <w:spacing w:after="200"/>
        <w:ind w:left="720" w:hanging="720"/>
        <w:rPr>
          <w:rFonts w:ascii="TH SarabunPSK" w:hAnsi="TH SarabunPSK" w:cs="TH SarabunPSK"/>
          <w:kern w:val="0"/>
          <w:sz w:val="28"/>
          <w:szCs w:val="28"/>
        </w:rPr>
      </w:pPr>
      <w:r w:rsidRPr="004E102C">
        <w:rPr>
          <w:rFonts w:ascii="TH SarabunPSK" w:hAnsi="TH SarabunPSK" w:cs="TH SarabunPSK"/>
          <w:kern w:val="0"/>
          <w:sz w:val="28"/>
          <w:szCs w:val="28"/>
          <w:lang w:bidi="ar"/>
        </w:rPr>
        <w:t xml:space="preserve">Liao, S. J. (2022). Research on the current situation and countermeasures of employment guidance in universities in Eastern Guizhou. </w:t>
      </w:r>
      <w:r w:rsidRPr="004E102C">
        <w:rPr>
          <w:rFonts w:ascii="TH SarabunPSK" w:hAnsi="TH SarabunPSK" w:cs="TH SarabunPSK"/>
          <w:i/>
          <w:iCs/>
          <w:kern w:val="0"/>
          <w:sz w:val="28"/>
          <w:szCs w:val="28"/>
          <w:lang w:bidi="ar"/>
        </w:rPr>
        <w:t>Shanxi Youth</w:t>
      </w:r>
      <w:r w:rsidRPr="004E102C">
        <w:rPr>
          <w:rFonts w:ascii="TH SarabunPSK" w:hAnsi="TH SarabunPSK" w:cs="TH SarabunPSK"/>
          <w:kern w:val="0"/>
          <w:sz w:val="28"/>
          <w:szCs w:val="28"/>
          <w:lang w:bidi="ar"/>
        </w:rPr>
        <w:t>, (12), 35–37.</w:t>
      </w:r>
    </w:p>
    <w:p w14:paraId="3C18AD03" w14:textId="77777777" w:rsidR="0052000D" w:rsidRPr="004E102C" w:rsidRDefault="00545001" w:rsidP="00A65D11">
      <w:pPr>
        <w:widowControl/>
        <w:spacing w:after="200"/>
        <w:ind w:left="720" w:hanging="720"/>
        <w:rPr>
          <w:rFonts w:ascii="TH SarabunPSK" w:hAnsi="TH SarabunPSK" w:cs="TH SarabunPSK"/>
          <w:sz w:val="28"/>
          <w:szCs w:val="28"/>
        </w:rPr>
      </w:pPr>
      <w:r w:rsidRPr="004E102C">
        <w:rPr>
          <w:rFonts w:ascii="TH SarabunPSK" w:hAnsi="TH SarabunPSK" w:cs="TH SarabunPSK"/>
          <w:kern w:val="0"/>
          <w:sz w:val="28"/>
          <w:szCs w:val="28"/>
          <w:lang w:bidi="ar"/>
        </w:rPr>
        <w:t>Zheng, L. H., &amp; Liu, Q. F. (2022). Eval</w:t>
      </w:r>
      <w:r w:rsidRPr="004E102C">
        <w:rPr>
          <w:rFonts w:ascii="TH SarabunPSK" w:hAnsi="TH SarabunPSK" w:cs="TH SarabunPSK"/>
          <w:kern w:val="0"/>
          <w:sz w:val="28"/>
          <w:szCs w:val="28"/>
          <w:lang w:bidi="ar"/>
        </w:rPr>
        <w:t xml:space="preserve">uation of satisfaction with employment guidance services in local universities in the new era. </w:t>
      </w:r>
      <w:r w:rsidRPr="004E102C">
        <w:rPr>
          <w:rFonts w:ascii="TH SarabunPSK" w:hAnsi="TH SarabunPSK" w:cs="TH SarabunPSK"/>
          <w:i/>
          <w:iCs/>
          <w:kern w:val="0"/>
          <w:sz w:val="28"/>
          <w:szCs w:val="28"/>
          <w:lang w:bidi="ar"/>
        </w:rPr>
        <w:t>Journal of Quanzhou Normal University</w:t>
      </w:r>
      <w:r w:rsidRPr="004E102C">
        <w:rPr>
          <w:rFonts w:ascii="TH SarabunPSK" w:hAnsi="TH SarabunPSK" w:cs="TH SarabunPSK"/>
          <w:kern w:val="0"/>
          <w:sz w:val="28"/>
          <w:szCs w:val="28"/>
          <w:lang w:bidi="ar"/>
        </w:rPr>
        <w:t>, 40(04), 85–91. https://doi.org/10.16125/j.cnki.1009-8224.2022.04.011</w:t>
      </w:r>
    </w:p>
    <w:sectPr w:rsidR="0052000D" w:rsidRPr="004E1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H SarabunPSK">
    <w:altName w:val="Segoe UI Symbol"/>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0D"/>
    <w:rsid w:val="000C3006"/>
    <w:rsid w:val="00106BE9"/>
    <w:rsid w:val="00442672"/>
    <w:rsid w:val="004E102C"/>
    <w:rsid w:val="0052000D"/>
    <w:rsid w:val="00545001"/>
    <w:rsid w:val="00686BF2"/>
    <w:rsid w:val="007D39EB"/>
    <w:rsid w:val="00A65D11"/>
    <w:rsid w:val="01CC2F56"/>
    <w:rsid w:val="04843A93"/>
    <w:rsid w:val="04AC5B58"/>
    <w:rsid w:val="056E6AB0"/>
    <w:rsid w:val="074D0626"/>
    <w:rsid w:val="0F621C35"/>
    <w:rsid w:val="20A16252"/>
    <w:rsid w:val="304E4E69"/>
    <w:rsid w:val="3C2F05AB"/>
    <w:rsid w:val="42AA14E8"/>
    <w:rsid w:val="45E36925"/>
    <w:rsid w:val="4837437C"/>
    <w:rsid w:val="732B7996"/>
    <w:rsid w:val="7D6733BC"/>
    <w:rsid w:val="7EB036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F39025"/>
  <w15:docId w15:val="{B7991522-AC38-4F7E-9136-505C819B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bidi="ar-SA"/>
    </w:rPr>
  </w:style>
  <w:style w:type="paragraph" w:styleId="1">
    <w:name w:val="heading 1"/>
    <w:basedOn w:val="a"/>
    <w:next w:val="a"/>
    <w:qFormat/>
    <w:pPr>
      <w:keepNext/>
      <w:keepLines/>
      <w:spacing w:before="340" w:after="330" w:line="576" w:lineRule="auto"/>
      <w:outlineLvl w:val="0"/>
    </w:pPr>
    <w:rPr>
      <w:rFonts w:eastAsia="Times New Roman"/>
      <w:b/>
      <w:kern w:val="44"/>
      <w:sz w:val="32"/>
    </w:rPr>
  </w:style>
  <w:style w:type="paragraph" w:styleId="2">
    <w:name w:val="heading 2"/>
    <w:basedOn w:val="a"/>
    <w:uiPriority w:val="9"/>
    <w:unhideWhenUsed/>
    <w:qFormat/>
    <w:pPr>
      <w:keepNext/>
      <w:keepLines/>
      <w:spacing w:before="200"/>
      <w:outlineLvl w:val="1"/>
    </w:pPr>
    <w:rPr>
      <w:rFonts w:asciiTheme="majorHAnsi" w:eastAsiaTheme="majorEastAsia" w:hAnsiTheme="majorHAnsi" w:cstheme="majorBidi"/>
      <w:b/>
      <w:bCs/>
      <w:color w:val="000000" w:themeColor="text1"/>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tabs>
        <w:tab w:val="center" w:pos="4680"/>
        <w:tab w:val="right" w:pos="9360"/>
      </w:tabs>
    </w:pPr>
  </w:style>
  <w:style w:type="paragraph" w:styleId="a4">
    <w:name w:val="table of figures"/>
    <w:basedOn w:val="a"/>
    <w:next w:val="a"/>
    <w:qFormat/>
    <w:pPr>
      <w:ind w:leftChars="200" w:left="200" w:hangingChars="200" w:hanging="200"/>
    </w:pPr>
  </w:style>
  <w:style w:type="paragraph" w:styleId="a5">
    <w:name w:val="Normal (Web)"/>
    <w:basedOn w:val="a"/>
    <w:qFormat/>
    <w:pPr>
      <w:spacing w:beforeAutospacing="1" w:afterAutospacing="1"/>
    </w:pPr>
    <w:rPr>
      <w:rFonts w:cs="Angsana New"/>
    </w:rPr>
  </w:style>
  <w:style w:type="paragraph" w:styleId="a6">
    <w:name w:val="List Paragraph"/>
    <w:basedOn w:val="a"/>
    <w:uiPriority w:val="34"/>
    <w:qFormat/>
    <w:pPr>
      <w:ind w:left="720"/>
      <w:contextualSpacing/>
    </w:pPr>
    <w:rPr>
      <w:szCs w:val="28"/>
    </w:rPr>
  </w:style>
  <w:style w:type="character" w:customStyle="1" w:styleId="TableTextChar">
    <w:name w:val="Table Text Char"/>
    <w:link w:val="TableText"/>
    <w:qFormat/>
    <w:rPr>
      <w:rFonts w:ascii="SimSun" w:eastAsia="Times New Roman" w:hAnsi="SimSun" w:cs="SimSun"/>
      <w:b/>
      <w:sz w:val="24"/>
      <w:lang w:eastAsia="en-US"/>
    </w:rPr>
  </w:style>
  <w:style w:type="paragraph" w:customStyle="1" w:styleId="TableText">
    <w:name w:val="Table Text"/>
    <w:basedOn w:val="a4"/>
    <w:link w:val="TableTextChar"/>
    <w:semiHidden/>
    <w:qFormat/>
    <w:rPr>
      <w:rFonts w:ascii="SimSun" w:eastAsia="Times New Roman" w:hAnsi="SimSun" w:cs="SimSun"/>
      <w:b/>
      <w:sz w:val="24"/>
      <w:lang w:eastAsia="en-US"/>
    </w:rPr>
  </w:style>
  <w:style w:type="character" w:styleId="a7">
    <w:name w:val="Hyperlink"/>
    <w:basedOn w:val="a0"/>
    <w:rsid w:val="00442672"/>
    <w:rPr>
      <w:color w:val="0026E5" w:themeColor="hyperlink"/>
      <w:u w:val="single"/>
    </w:rPr>
  </w:style>
  <w:style w:type="character" w:styleId="a8">
    <w:name w:val="Unresolved Mention"/>
    <w:basedOn w:val="a0"/>
    <w:uiPriority w:val="99"/>
    <w:semiHidden/>
    <w:unhideWhenUsed/>
    <w:rsid w:val="0044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undit.v@pkru.ac.th"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11085</Characters>
  <Application>Microsoft Office Word</Application>
  <DocSecurity>0</DocSecurity>
  <Lines>92</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邵帅</dc:creator>
  <cp:lastModifiedBy>HP</cp:lastModifiedBy>
  <cp:revision>2</cp:revision>
  <dcterms:created xsi:type="dcterms:W3CDTF">2026-02-09T07:24:00Z</dcterms:created>
  <dcterms:modified xsi:type="dcterms:W3CDTF">2026-02-09T07:24:00Z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eyJoZGlkIjoiNmI1NjY0ZGE0NDdkZmRjYzlkMzhmNDNiZmE3YjVjZjUiLCJ1c2VySWQiOiIxMTQ1OTY0NDg5In0=</vt:lpwstr>
  </property>
  <property fmtid="{D5CDD505-2E9C-101B-9397-08002B2CF9AE}" pid="4" name="ICV">
    <vt:lpwstr>39CFB4BB63384AF9B4ADA9449072BEC1_12</vt:lpwstr>
  </property>
</Properties>
</file>