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275D71" w14:textId="77777777" w:rsidR="00601AAC" w:rsidRDefault="0090397B">
      <w:pPr>
        <w:spacing w:after="0" w:line="240" w:lineRule="auto"/>
        <w:jc w:val="center"/>
        <w:rPr>
          <w:rFonts w:ascii="TH SarabunPSK" w:hAnsi="TH SarabunPSK" w:cs="TH SarabunPSK"/>
          <w:b/>
          <w:sz w:val="40"/>
          <w:szCs w:val="40"/>
          <w:lang w:eastAsia="zh-CN"/>
        </w:rPr>
      </w:pPr>
      <w:r>
        <w:rPr>
          <w:rFonts w:ascii="TH SarabunPSK" w:hAnsi="TH SarabunPSK" w:cs="TH SarabunPSK"/>
          <w:b/>
          <w:sz w:val="40"/>
          <w:szCs w:val="40"/>
          <w:lang w:eastAsia="zh-CN"/>
        </w:rPr>
        <w:t xml:space="preserve">The influence of brand loyalty on online purchasing intention of consumers in </w:t>
      </w:r>
      <w:proofErr w:type="spellStart"/>
      <w:r>
        <w:rPr>
          <w:rFonts w:ascii="TH SarabunPSK" w:hAnsi="TH SarabunPSK" w:cs="TH SarabunPSK"/>
          <w:b/>
          <w:sz w:val="40"/>
          <w:szCs w:val="40"/>
          <w:lang w:eastAsia="zh-CN"/>
        </w:rPr>
        <w:t>Tianqiao</w:t>
      </w:r>
      <w:proofErr w:type="spellEnd"/>
      <w:r>
        <w:rPr>
          <w:rFonts w:ascii="TH SarabunPSK" w:hAnsi="TH SarabunPSK" w:cs="TH SarabunPSK"/>
          <w:b/>
          <w:sz w:val="40"/>
          <w:szCs w:val="40"/>
          <w:lang w:eastAsia="zh-CN"/>
        </w:rPr>
        <w:t xml:space="preserve"> District Jinan, Shandong, China</w:t>
      </w:r>
    </w:p>
    <w:p w14:paraId="6F389DCD" w14:textId="25BFE4BB" w:rsidR="00601AAC" w:rsidRDefault="0090397B">
      <w:pPr>
        <w:spacing w:after="0" w:line="240" w:lineRule="auto"/>
        <w:jc w:val="center"/>
        <w:rPr>
          <w:rFonts w:ascii="TH SarabunPSK" w:hAnsi="TH SarabunPSK" w:cs="TH SarabunPSK"/>
          <w:bCs/>
          <w:sz w:val="32"/>
          <w:szCs w:val="32"/>
          <w:lang w:eastAsia="zh-CN"/>
        </w:rPr>
      </w:pPr>
      <w:proofErr w:type="spellStart"/>
      <w:r>
        <w:rPr>
          <w:rFonts w:ascii="TH SarabunPSK" w:hAnsi="TH SarabunPSK" w:cs="TH SarabunPSK"/>
          <w:bCs/>
          <w:sz w:val="32"/>
          <w:szCs w:val="32"/>
          <w:lang w:eastAsia="zh-CN"/>
        </w:rPr>
        <w:t>Fengjiao</w:t>
      </w:r>
      <w:proofErr w:type="spellEnd"/>
      <w:r>
        <w:rPr>
          <w:rFonts w:ascii="TH SarabunPSK" w:hAnsi="TH SarabunPSK" w:cs="TH SarabunPSK"/>
          <w:bCs/>
          <w:sz w:val="32"/>
          <w:szCs w:val="32"/>
          <w:lang w:eastAsia="zh-CN"/>
        </w:rPr>
        <w:t xml:space="preserve"> Cui</w:t>
      </w:r>
      <w:r w:rsidR="00E60D38">
        <w:rPr>
          <w:rFonts w:ascii="TH SarabunPSK" w:hAnsi="TH SarabunPSK" w:cs="TH SarabunPSK" w:hint="cs"/>
          <w:bCs/>
          <w:sz w:val="32"/>
          <w:szCs w:val="32"/>
          <w:cs/>
          <w:lang w:eastAsia="zh-CN"/>
        </w:rPr>
        <w:t xml:space="preserve"> </w:t>
      </w:r>
      <w:r w:rsidR="00E60D38">
        <w:rPr>
          <w:rFonts w:ascii="TH SarabunPSK" w:hAnsi="TH SarabunPSK" w:cs="TH SarabunPSK"/>
          <w:bCs/>
          <w:sz w:val="32"/>
          <w:szCs w:val="32"/>
          <w:lang w:eastAsia="zh-CN"/>
        </w:rPr>
        <w:t xml:space="preserve">and </w:t>
      </w:r>
      <w:proofErr w:type="spellStart"/>
      <w:r w:rsidR="00E60D38">
        <w:rPr>
          <w:rFonts w:ascii="TH SarabunPSK" w:hAnsi="TH SarabunPSK" w:cs="TH SarabunPSK"/>
          <w:bCs/>
          <w:sz w:val="32"/>
          <w:szCs w:val="32"/>
          <w:lang w:eastAsia="zh-CN"/>
        </w:rPr>
        <w:t>B</w:t>
      </w:r>
      <w:r w:rsidR="00E60D38" w:rsidRPr="00E60D38">
        <w:rPr>
          <w:rFonts w:ascii="TH SarabunPSK" w:hAnsi="TH SarabunPSK" w:cs="TH SarabunPSK"/>
          <w:bCs/>
          <w:sz w:val="32"/>
          <w:szCs w:val="32"/>
          <w:lang w:eastAsia="zh-CN"/>
        </w:rPr>
        <w:t>enjamaporn</w:t>
      </w:r>
      <w:proofErr w:type="spellEnd"/>
      <w:r w:rsidR="00E60D38" w:rsidRPr="00E60D38">
        <w:rPr>
          <w:rFonts w:ascii="TH SarabunPSK" w:hAnsi="TH SarabunPSK" w:cs="TH SarabunPSK"/>
          <w:bCs/>
          <w:sz w:val="32"/>
          <w:szCs w:val="32"/>
          <w:lang w:eastAsia="zh-CN"/>
        </w:rPr>
        <w:t xml:space="preserve"> </w:t>
      </w:r>
      <w:proofErr w:type="spellStart"/>
      <w:r w:rsidR="00E60D38" w:rsidRPr="00E60D38">
        <w:rPr>
          <w:rFonts w:ascii="TH SarabunPSK" w:hAnsi="TH SarabunPSK" w:cs="TH SarabunPSK"/>
          <w:bCs/>
          <w:sz w:val="32"/>
          <w:szCs w:val="32"/>
          <w:lang w:eastAsia="zh-CN"/>
        </w:rPr>
        <w:t>Chumnanchar</w:t>
      </w:r>
      <w:proofErr w:type="spellEnd"/>
    </w:p>
    <w:p w14:paraId="6A0AB4EF" w14:textId="77777777" w:rsidR="00601AAC" w:rsidRDefault="0090397B">
      <w:pPr>
        <w:spacing w:after="120" w:line="240" w:lineRule="auto"/>
        <w:jc w:val="center"/>
        <w:rPr>
          <w:rFonts w:ascii="TH SarabunPSK" w:hAnsi="TH SarabunPSK" w:cs="TH SarabunPSK"/>
          <w:bCs/>
          <w:sz w:val="32"/>
          <w:szCs w:val="32"/>
          <w:lang w:eastAsia="zh-CN"/>
        </w:rPr>
      </w:pPr>
      <w:r>
        <w:rPr>
          <w:rFonts w:ascii="TH SarabunPSK" w:hAnsi="TH SarabunPSK" w:cs="TH SarabunPSK"/>
          <w:bCs/>
          <w:sz w:val="32"/>
          <w:szCs w:val="32"/>
        </w:rPr>
        <w:t xml:space="preserve">Department of Business Administration, </w:t>
      </w:r>
      <w:r>
        <w:rPr>
          <w:rFonts w:ascii="TH SarabunPSK" w:hAnsi="TH SarabunPSK" w:cs="TH SarabunPSK"/>
          <w:bCs/>
          <w:sz w:val="32"/>
          <w:szCs w:val="32"/>
          <w:lang w:eastAsia="zh-CN"/>
        </w:rPr>
        <w:t xml:space="preserve"> Rajabhat University </w:t>
      </w:r>
      <w:r>
        <w:rPr>
          <w:rFonts w:ascii="TH SarabunPSK" w:hAnsi="TH SarabunPSK" w:cs="TH SarabunPSK"/>
          <w:bCs/>
          <w:sz w:val="32"/>
          <w:szCs w:val="32"/>
        </w:rPr>
        <w:t xml:space="preserve">, Phuket, </w:t>
      </w:r>
      <w:r>
        <w:rPr>
          <w:rFonts w:ascii="TH SarabunPSK" w:hAnsi="TH SarabunPSK" w:cs="TH SarabunPSK"/>
          <w:bCs/>
          <w:sz w:val="32"/>
          <w:szCs w:val="32"/>
          <w:lang w:eastAsia="zh-CN"/>
        </w:rPr>
        <w:t>Thailand</w:t>
      </w:r>
    </w:p>
    <w:p w14:paraId="37CC3195" w14:textId="4C29DEDF" w:rsidR="00601AAC" w:rsidRDefault="0090397B">
      <w:pPr>
        <w:spacing w:after="0" w:line="240" w:lineRule="auto"/>
        <w:jc w:val="center"/>
        <w:rPr>
          <w:rFonts w:ascii="TH SarabunPSK" w:hAnsi="TH SarabunPSK" w:cs="TH SarabunPSK"/>
          <w:bCs/>
          <w:sz w:val="32"/>
          <w:szCs w:val="32"/>
          <w:lang w:eastAsia="zh-CN"/>
        </w:rPr>
      </w:pPr>
      <w:r>
        <w:rPr>
          <w:rFonts w:ascii="TH SarabunPSK" w:hAnsi="TH SarabunPSK" w:cs="TH SarabunPSK"/>
          <w:bCs/>
          <w:sz w:val="32"/>
          <w:szCs w:val="32"/>
          <w:lang w:eastAsia="zh-CN"/>
        </w:rPr>
        <w:t xml:space="preserve">Email: </w:t>
      </w:r>
      <w:hyperlink r:id="rId8" w:history="1">
        <w:r w:rsidR="00E60D38" w:rsidRPr="001841D4">
          <w:rPr>
            <w:rStyle w:val="ad"/>
            <w:rFonts w:ascii="TH SarabunPSK" w:hAnsi="TH SarabunPSK" w:cs="TH SarabunPSK"/>
            <w:bCs/>
            <w:sz w:val="32"/>
            <w:szCs w:val="32"/>
            <w:lang w:eastAsia="zh-CN"/>
          </w:rPr>
          <w:t>benjamaporn.c@pkru.ac.th</w:t>
        </w:r>
      </w:hyperlink>
      <w:r w:rsidR="00E60D38">
        <w:rPr>
          <w:rFonts w:ascii="TH SarabunPSK" w:hAnsi="TH SarabunPSK" w:cs="TH SarabunPSK"/>
          <w:bCs/>
          <w:sz w:val="32"/>
          <w:szCs w:val="32"/>
          <w:lang w:eastAsia="zh-CN"/>
        </w:rPr>
        <w:t xml:space="preserve"> </w:t>
      </w:r>
    </w:p>
    <w:p w14:paraId="2F96E52A" w14:textId="77777777" w:rsidR="00601AAC" w:rsidRDefault="00601AAC">
      <w:pPr>
        <w:spacing w:after="0" w:line="240" w:lineRule="auto"/>
        <w:jc w:val="both"/>
        <w:rPr>
          <w:rFonts w:ascii="TH SarabunPSK" w:hAnsi="TH SarabunPSK" w:cs="TH SarabunPSK"/>
          <w:sz w:val="32"/>
          <w:szCs w:val="32"/>
          <w:lang w:eastAsia="zh-CN"/>
        </w:rPr>
      </w:pPr>
    </w:p>
    <w:p w14:paraId="4AE25366" w14:textId="77777777" w:rsidR="00601AAC" w:rsidRDefault="0090397B">
      <w:pPr>
        <w:spacing w:after="120" w:line="240" w:lineRule="auto"/>
        <w:rPr>
          <w:rFonts w:ascii="TH SarabunPSK" w:eastAsiaTheme="majorEastAsia" w:hAnsi="TH SarabunPSK" w:cs="TH SarabunPSK"/>
          <w:b/>
          <w:bCs/>
          <w:color w:val="000000" w:themeColor="text1"/>
          <w:sz w:val="32"/>
          <w:szCs w:val="32"/>
          <w:cs/>
        </w:rPr>
      </w:pPr>
      <w:r>
        <w:rPr>
          <w:rFonts w:ascii="TH SarabunPSK" w:eastAsiaTheme="majorEastAsia" w:hAnsi="TH SarabunPSK" w:cs="TH SarabunPSK"/>
          <w:b/>
          <w:bCs/>
          <w:color w:val="000000" w:themeColor="text1"/>
          <w:sz w:val="32"/>
          <w:szCs w:val="32"/>
        </w:rPr>
        <w:t xml:space="preserve">Abstract </w:t>
      </w:r>
    </w:p>
    <w:p w14:paraId="67A65368" w14:textId="77777777" w:rsidR="00601AAC" w:rsidRDefault="0090397B">
      <w:pPr>
        <w:spacing w:after="0" w:line="240" w:lineRule="auto"/>
        <w:ind w:leftChars="-200" w:left="-423" w:hangingChars="6" w:hanging="17"/>
        <w:jc w:val="both"/>
        <w:rPr>
          <w:rFonts w:ascii="TH SarabunPSK" w:hAnsi="TH SarabunPSK" w:cs="TH SarabunPSK"/>
          <w:sz w:val="28"/>
          <w:szCs w:val="28"/>
        </w:rPr>
      </w:pPr>
      <w:r>
        <w:rPr>
          <w:rFonts w:ascii="TH SarabunPSK" w:hAnsi="TH SarabunPSK" w:cs="TH SarabunPSK"/>
          <w:sz w:val="28"/>
          <w:szCs w:val="28"/>
        </w:rPr>
        <w:t>With the rapid development of digital technology and e-commerce in China, online shopping has become an integral part of urban consumption. Brand loyalty is widely recognized as a key determinant of online purchase intention and long-term customer retentio</w:t>
      </w:r>
      <w:r>
        <w:rPr>
          <w:rFonts w:ascii="TH SarabunPSK" w:hAnsi="TH SarabunPSK" w:cs="TH SarabunPSK"/>
          <w:sz w:val="28"/>
          <w:szCs w:val="28"/>
        </w:rPr>
        <w:t>n. Although existing studies have examined brand loyalty from various perspectives, most focus on national samples or single loyalty dimensions, with limited attention to district-level consumers and higher-order emotional factors in e-commerce contexts. T</w:t>
      </w:r>
      <w:r>
        <w:rPr>
          <w:rFonts w:ascii="TH SarabunPSK" w:hAnsi="TH SarabunPSK" w:cs="TH SarabunPSK"/>
          <w:sz w:val="28"/>
          <w:szCs w:val="28"/>
        </w:rPr>
        <w:t xml:space="preserve">o address this gap, this study investigates consumers in </w:t>
      </w:r>
      <w:proofErr w:type="spellStart"/>
      <w:r>
        <w:rPr>
          <w:rFonts w:ascii="TH SarabunPSK" w:hAnsi="TH SarabunPSK" w:cs="TH SarabunPSK"/>
          <w:sz w:val="28"/>
          <w:szCs w:val="28"/>
        </w:rPr>
        <w:t>Tianqiao</w:t>
      </w:r>
      <w:proofErr w:type="spellEnd"/>
      <w:r>
        <w:rPr>
          <w:rFonts w:ascii="TH SarabunPSK" w:hAnsi="TH SarabunPSK" w:cs="TH SarabunPSK"/>
          <w:sz w:val="28"/>
          <w:szCs w:val="28"/>
        </w:rPr>
        <w:t xml:space="preserve"> District, Jinan City, using 400 valid questionnaires and mu</w:t>
      </w:r>
      <w:r>
        <w:rPr>
          <w:rFonts w:ascii="TH SarabunPSK" w:hAnsi="TH SarabunPSK" w:cs="TH SarabunPSK"/>
          <w:spacing w:val="-11"/>
          <w:sz w:val="28"/>
          <w:szCs w:val="28"/>
        </w:rPr>
        <w:t>ltiple linear regression analysis to examine the effects of five brand loyalty dimensions—brand recognition, brand recall, brand pr</w:t>
      </w:r>
      <w:r>
        <w:rPr>
          <w:rFonts w:ascii="TH SarabunPSK" w:hAnsi="TH SarabunPSK" w:cs="TH SarabunPSK"/>
          <w:spacing w:val="-11"/>
          <w:sz w:val="28"/>
          <w:szCs w:val="28"/>
        </w:rPr>
        <w:t>eference, brand insistence, and emotional attachment—on online purchase intention. The</w:t>
      </w:r>
      <w:r>
        <w:rPr>
          <w:rFonts w:ascii="TH SarabunPSK" w:hAnsi="TH SarabunPSK" w:cs="TH SarabunPSK"/>
          <w:sz w:val="28"/>
          <w:szCs w:val="28"/>
        </w:rPr>
        <w:t xml:space="preserve"> results indicate that brand recall and brand preference significantly enhance purchase intention, while brand insistence and emotional attachment remain relatively weak.</w:t>
      </w:r>
      <w:r>
        <w:rPr>
          <w:rFonts w:ascii="TH SarabunPSK" w:hAnsi="TH SarabunPSK" w:cs="TH SarabunPSK"/>
          <w:sz w:val="28"/>
          <w:szCs w:val="28"/>
        </w:rPr>
        <w:t xml:space="preserve"> In addition, demographic factors such as age, gender, and occupation show significant differences across product categories. These findings suggest that strengthening brand memory, personalized services, and targeted communication strategies is essential </w:t>
      </w:r>
      <w:r>
        <w:rPr>
          <w:rFonts w:ascii="TH SarabunPSK" w:hAnsi="TH SarabunPSK" w:cs="TH SarabunPSK"/>
          <w:sz w:val="28"/>
          <w:szCs w:val="28"/>
        </w:rPr>
        <w:t>for fostering higher-order loyalty and improving online conversion rates.</w:t>
      </w:r>
    </w:p>
    <w:p w14:paraId="72DAB770" w14:textId="77777777" w:rsidR="00601AAC" w:rsidRDefault="0090397B">
      <w:pPr>
        <w:pStyle w:val="4"/>
        <w:spacing w:line="240" w:lineRule="auto"/>
        <w:ind w:leftChars="-200" w:left="-440"/>
        <w:jc w:val="both"/>
        <w:rPr>
          <w:rFonts w:ascii="TH SarabunPSK" w:hAnsi="TH SarabunPSK" w:cs="TH SarabunPSK"/>
          <w:sz w:val="28"/>
          <w:szCs w:val="28"/>
        </w:rPr>
      </w:pPr>
      <w:r>
        <w:rPr>
          <w:rFonts w:ascii="TH SarabunPSK" w:hAnsi="TH SarabunPSK" w:cs="TH SarabunPSK"/>
          <w:b/>
          <w:i w:val="0"/>
          <w:color w:val="auto"/>
          <w:sz w:val="32"/>
          <w:szCs w:val="32"/>
        </w:rPr>
        <w:t>Keywords</w:t>
      </w:r>
      <w:r>
        <w:rPr>
          <w:rFonts w:ascii="TH SarabunPSK" w:hAnsi="TH SarabunPSK" w:cs="TH SarabunPSK"/>
          <w:i w:val="0"/>
          <w:color w:val="auto"/>
          <w:sz w:val="32"/>
          <w:szCs w:val="32"/>
        </w:rPr>
        <w:t>:</w:t>
      </w:r>
      <w:r>
        <w:rPr>
          <w:rFonts w:ascii="TH SarabunPSK" w:hAnsi="TH SarabunPSK" w:cs="TH SarabunPSK"/>
          <w:i w:val="0"/>
          <w:color w:val="auto"/>
          <w:sz w:val="28"/>
          <w:szCs w:val="28"/>
        </w:rPr>
        <w:t xml:space="preserve"> </w:t>
      </w:r>
      <w:r>
        <w:rPr>
          <w:rFonts w:ascii="TH SarabunPSK" w:eastAsiaTheme="minorEastAsia" w:hAnsi="TH SarabunPSK" w:cs="TH SarabunPSK"/>
          <w:i w:val="0"/>
          <w:iCs w:val="0"/>
          <w:color w:val="auto"/>
          <w:sz w:val="28"/>
          <w:szCs w:val="28"/>
          <w:lang w:eastAsia="zh-CN"/>
        </w:rPr>
        <w:t xml:space="preserve">Brand loyalty online, Purchase </w:t>
      </w:r>
      <w:proofErr w:type="spellStart"/>
      <w:r>
        <w:rPr>
          <w:rFonts w:ascii="TH SarabunPSK" w:eastAsiaTheme="minorEastAsia" w:hAnsi="TH SarabunPSK" w:cs="TH SarabunPSK"/>
          <w:i w:val="0"/>
          <w:iCs w:val="0"/>
          <w:color w:val="auto"/>
          <w:sz w:val="28"/>
          <w:szCs w:val="28"/>
          <w:lang w:eastAsia="zh-CN"/>
        </w:rPr>
        <w:t>intention,</w:t>
      </w:r>
      <w:r>
        <w:rPr>
          <w:rFonts w:ascii="TH SarabunPSK" w:eastAsiaTheme="minorEastAsia" w:hAnsi="TH SarabunPSK" w:cs="TH SarabunPSK"/>
          <w:i w:val="0"/>
          <w:iCs w:val="0"/>
          <w:color w:val="auto"/>
          <w:sz w:val="28"/>
          <w:szCs w:val="28"/>
        </w:rPr>
        <w:t>Intention</w:t>
      </w:r>
      <w:proofErr w:type="spellEnd"/>
      <w:r>
        <w:rPr>
          <w:rFonts w:ascii="TH SarabunPSK" w:eastAsiaTheme="minorEastAsia" w:hAnsi="TH SarabunPSK" w:cs="TH SarabunPSK"/>
          <w:i w:val="0"/>
          <w:iCs w:val="0"/>
          <w:color w:val="auto"/>
          <w:sz w:val="28"/>
          <w:szCs w:val="28"/>
        </w:rPr>
        <w:t xml:space="preserve">; E-commerce; Consumer Behavior; </w:t>
      </w:r>
      <w:proofErr w:type="spellStart"/>
      <w:r>
        <w:rPr>
          <w:rFonts w:ascii="TH SarabunPSK" w:eastAsiaTheme="minorEastAsia" w:hAnsi="TH SarabunPSK" w:cs="TH SarabunPSK"/>
          <w:i w:val="0"/>
          <w:iCs w:val="0"/>
          <w:color w:val="auto"/>
          <w:sz w:val="28"/>
          <w:szCs w:val="28"/>
        </w:rPr>
        <w:t>Tianqiao</w:t>
      </w:r>
      <w:proofErr w:type="spellEnd"/>
      <w:r>
        <w:rPr>
          <w:rFonts w:ascii="TH SarabunPSK" w:eastAsiaTheme="minorEastAsia" w:hAnsi="TH SarabunPSK" w:cs="TH SarabunPSK"/>
          <w:i w:val="0"/>
          <w:iCs w:val="0"/>
          <w:color w:val="auto"/>
          <w:sz w:val="28"/>
          <w:szCs w:val="28"/>
        </w:rPr>
        <w:t xml:space="preserve"> District</w:t>
      </w:r>
    </w:p>
    <w:p w14:paraId="4BBC2ACA" w14:textId="77777777" w:rsidR="00601AAC" w:rsidRDefault="0090397B">
      <w:pPr>
        <w:spacing w:after="120" w:line="240" w:lineRule="auto"/>
        <w:ind w:leftChars="-200" w:left="-440"/>
        <w:rPr>
          <w:rFonts w:ascii="TH SarabunPSK" w:eastAsiaTheme="majorEastAsia" w:hAnsi="TH SarabunPSK" w:cs="TH SarabunPSK"/>
          <w:b/>
          <w:bCs/>
          <w:color w:val="000000" w:themeColor="text1"/>
          <w:sz w:val="32"/>
          <w:szCs w:val="32"/>
        </w:rPr>
      </w:pPr>
      <w:r>
        <w:rPr>
          <w:rFonts w:ascii="TH SarabunPSK" w:eastAsiaTheme="majorEastAsia" w:hAnsi="TH SarabunPSK" w:cs="TH SarabunPSK"/>
          <w:b/>
          <w:bCs/>
          <w:color w:val="000000" w:themeColor="text1"/>
          <w:sz w:val="32"/>
          <w:szCs w:val="32"/>
          <w:lang w:eastAsia="zh-CN"/>
        </w:rPr>
        <w:t>Introduction</w:t>
      </w:r>
      <w:r>
        <w:rPr>
          <w:rFonts w:ascii="TH SarabunPSK" w:eastAsiaTheme="majorEastAsia" w:hAnsi="TH SarabunPSK" w:cs="TH SarabunPSK"/>
          <w:b/>
          <w:bCs/>
          <w:color w:val="000000" w:themeColor="text1"/>
          <w:sz w:val="32"/>
          <w:szCs w:val="32"/>
        </w:rPr>
        <w:t xml:space="preserve"> </w:t>
      </w:r>
    </w:p>
    <w:p w14:paraId="0CC25ED4" w14:textId="77777777" w:rsidR="00601AAC" w:rsidRDefault="0090397B">
      <w:pPr>
        <w:spacing w:after="0" w:line="240" w:lineRule="auto"/>
        <w:ind w:leftChars="-200" w:left="-440" w:firstLineChars="300" w:firstLine="840"/>
        <w:jc w:val="both"/>
        <w:rPr>
          <w:rFonts w:ascii="TH SarabunPSK" w:hAnsi="TH SarabunPSK" w:cs="TH SarabunPSK"/>
          <w:sz w:val="28"/>
          <w:szCs w:val="28"/>
        </w:rPr>
      </w:pPr>
      <w:r>
        <w:rPr>
          <w:rFonts w:ascii="TH SarabunPSK" w:hAnsi="TH SarabunPSK" w:cs="TH SarabunPSK"/>
          <w:sz w:val="28"/>
          <w:szCs w:val="28"/>
        </w:rPr>
        <w:t>The scale of online shopping users in China exceeds 900 million, and the online retail sales reached 7.0991 trillion yuan— an increase of 9.8 % year-on-year  (China Internet Network Information Center [CNNIC], 2024), demonstrating a strong growth momentum.</w:t>
      </w:r>
      <w:r>
        <w:rPr>
          <w:rFonts w:ascii="TH SarabunPSK" w:hAnsi="TH SarabunPSK" w:cs="TH SarabunPSK"/>
          <w:sz w:val="28"/>
          <w:szCs w:val="28"/>
        </w:rPr>
        <w:t xml:space="preserve"> The shopping channels are diversified, covering comprehensive e-commerce platforms (such as Taobao and </w:t>
      </w:r>
      <w:proofErr w:type="spellStart"/>
      <w:r>
        <w:rPr>
          <w:rFonts w:ascii="TH SarabunPSK" w:hAnsi="TH SarabunPSK" w:cs="TH SarabunPSK"/>
          <w:sz w:val="28"/>
          <w:szCs w:val="28"/>
        </w:rPr>
        <w:t>Pinduoduo</w:t>
      </w:r>
      <w:proofErr w:type="spellEnd"/>
      <w:r>
        <w:rPr>
          <w:rFonts w:ascii="TH SarabunPSK" w:hAnsi="TH SarabunPSK" w:cs="TH SarabunPSK"/>
          <w:sz w:val="28"/>
          <w:szCs w:val="28"/>
        </w:rPr>
        <w:t xml:space="preserve">), short-video platforms, and content platforms (like </w:t>
      </w:r>
      <w:proofErr w:type="spellStart"/>
      <w:r>
        <w:rPr>
          <w:rFonts w:ascii="TH SarabunPSK" w:hAnsi="TH SarabunPSK" w:cs="TH SarabunPSK"/>
          <w:sz w:val="28"/>
          <w:szCs w:val="28"/>
        </w:rPr>
        <w:t>Xiaohongshu</w:t>
      </w:r>
      <w:proofErr w:type="spellEnd"/>
      <w:r>
        <w:rPr>
          <w:rFonts w:ascii="TH SarabunPSK" w:hAnsi="TH SarabunPSK" w:cs="TH SarabunPSK"/>
          <w:sz w:val="28"/>
          <w:szCs w:val="28"/>
        </w:rPr>
        <w:t xml:space="preserve">), and new technologies such as virtual reality and digital twins, along with </w:t>
      </w:r>
      <w:r>
        <w:rPr>
          <w:rFonts w:ascii="TH SarabunPSK" w:hAnsi="TH SarabunPSK" w:cs="TH SarabunPSK"/>
          <w:sz w:val="28"/>
          <w:szCs w:val="28"/>
        </w:rPr>
        <w:t xml:space="preserve">related supportive policies, provide strong support for the market. Live-streaming e-commerce </w:t>
      </w:r>
      <w:r>
        <w:rPr>
          <w:rFonts w:ascii="TH SarabunPSK" w:hAnsi="TH SarabunPSK" w:cs="TH SarabunPSK"/>
          <w:sz w:val="28"/>
          <w:szCs w:val="28"/>
        </w:rPr>
        <w:lastRenderedPageBreak/>
        <w:t>has also become an important part of retail. However, at the same time, online shopping faces issues such as product quality, after-sales service, logistics, secu</w:t>
      </w:r>
      <w:r>
        <w:rPr>
          <w:rFonts w:ascii="TH SarabunPSK" w:hAnsi="TH SarabunPSK" w:cs="TH SarabunPSK"/>
          <w:sz w:val="28"/>
          <w:szCs w:val="28"/>
        </w:rPr>
        <w:t>rity risks, and merchant fraud, which affect the consumer experience and set the background for research on online shopping satisfaction and related topics.</w:t>
      </w:r>
    </w:p>
    <w:p w14:paraId="17BC9D85" w14:textId="77777777" w:rsidR="00601AAC" w:rsidRDefault="0090397B">
      <w:pPr>
        <w:spacing w:line="240" w:lineRule="auto"/>
        <w:ind w:leftChars="-200" w:left="-440" w:firstLineChars="235" w:firstLine="658"/>
        <w:jc w:val="both"/>
        <w:rPr>
          <w:rFonts w:ascii="TH SarabunPSK" w:hAnsi="TH SarabunPSK" w:cs="TH SarabunPSK"/>
          <w:sz w:val="28"/>
          <w:szCs w:val="28"/>
        </w:rPr>
      </w:pPr>
      <w:r>
        <w:rPr>
          <w:rFonts w:ascii="TH SarabunPSK" w:hAnsi="TH SarabunPSK" w:cs="TH SarabunPSK"/>
          <w:sz w:val="28"/>
          <w:szCs w:val="28"/>
        </w:rPr>
        <w:t>Against this backdrop, brand loyalty is widely recognized as a pivotal determinant of consumer beha</w:t>
      </w:r>
      <w:r>
        <w:rPr>
          <w:rFonts w:ascii="TH SarabunPSK" w:hAnsi="TH SarabunPSK" w:cs="TH SarabunPSK"/>
          <w:sz w:val="28"/>
          <w:szCs w:val="28"/>
        </w:rPr>
        <w:t>vior and purchase intention (</w:t>
      </w:r>
      <w:proofErr w:type="spellStart"/>
      <w:r>
        <w:rPr>
          <w:rFonts w:ascii="TH SarabunPSK" w:hAnsi="TH SarabunPSK" w:cs="TH SarabunPSK"/>
          <w:sz w:val="28"/>
          <w:szCs w:val="28"/>
        </w:rPr>
        <w:t>Sarıipek</w:t>
      </w:r>
      <w:proofErr w:type="spellEnd"/>
      <w:r>
        <w:rPr>
          <w:rFonts w:ascii="TH SarabunPSK" w:hAnsi="TH SarabunPSK" w:cs="TH SarabunPSK"/>
          <w:sz w:val="28"/>
          <w:szCs w:val="28"/>
        </w:rPr>
        <w:t xml:space="preserve">, 2023; </w:t>
      </w:r>
      <w:proofErr w:type="spellStart"/>
      <w:r>
        <w:rPr>
          <w:rFonts w:ascii="TH SarabunPSK" w:hAnsi="TH SarabunPSK" w:cs="TH SarabunPSK"/>
          <w:sz w:val="28"/>
          <w:szCs w:val="28"/>
        </w:rPr>
        <w:t>Ranjbariyan</w:t>
      </w:r>
      <w:proofErr w:type="spellEnd"/>
      <w:r>
        <w:rPr>
          <w:rFonts w:ascii="TH SarabunPSK" w:hAnsi="TH SarabunPSK" w:cs="TH SarabunPSK"/>
          <w:sz w:val="28"/>
          <w:szCs w:val="28"/>
        </w:rPr>
        <w:t xml:space="preserve"> et al., 2012). Previous studies have shown that increases in brand awareness and brand loyalty are positively related to consumer purchase intentions, as well as to repurchase and positive word-of-mo</w:t>
      </w:r>
      <w:r>
        <w:rPr>
          <w:rFonts w:ascii="TH SarabunPSK" w:hAnsi="TH SarabunPSK" w:cs="TH SarabunPSK"/>
          <w:sz w:val="28"/>
          <w:szCs w:val="28"/>
        </w:rPr>
        <w:t>uth behaviors (</w:t>
      </w:r>
      <w:proofErr w:type="spellStart"/>
      <w:r>
        <w:rPr>
          <w:rFonts w:ascii="TH SarabunPSK" w:hAnsi="TH SarabunPSK" w:cs="TH SarabunPSK"/>
          <w:sz w:val="28"/>
          <w:szCs w:val="28"/>
        </w:rPr>
        <w:t>Foroudi</w:t>
      </w:r>
      <w:proofErr w:type="spellEnd"/>
      <w:r>
        <w:rPr>
          <w:rFonts w:ascii="TH SarabunPSK" w:hAnsi="TH SarabunPSK" w:cs="TH SarabunPSK"/>
          <w:sz w:val="28"/>
          <w:szCs w:val="28"/>
        </w:rPr>
        <w:t xml:space="preserve"> et al., 2018; </w:t>
      </w:r>
      <w:proofErr w:type="spellStart"/>
      <w:r>
        <w:rPr>
          <w:rFonts w:ascii="TH SarabunPSK" w:hAnsi="TH SarabunPSK" w:cs="TH SarabunPSK"/>
          <w:sz w:val="28"/>
          <w:szCs w:val="28"/>
        </w:rPr>
        <w:t>Porral</w:t>
      </w:r>
      <w:proofErr w:type="spellEnd"/>
      <w:r>
        <w:rPr>
          <w:rFonts w:ascii="TH SarabunPSK" w:hAnsi="TH SarabunPSK" w:cs="TH SarabunPSK"/>
          <w:sz w:val="28"/>
          <w:szCs w:val="28"/>
        </w:rPr>
        <w:t xml:space="preserve"> et al., 2015; Kim &amp; Kim, 2005). However, the specific effects of its five distinct dimensions — including brand awareness, brand recall, brand preference, brand commitment, and emotional attachment — on online pu</w:t>
      </w:r>
      <w:r>
        <w:rPr>
          <w:rFonts w:ascii="TH SarabunPSK" w:hAnsi="TH SarabunPSK" w:cs="TH SarabunPSK"/>
          <w:sz w:val="28"/>
          <w:szCs w:val="28"/>
        </w:rPr>
        <w:t xml:space="preserve">rchase intention remain relatively unclear, as the literature primarily focuses on general loyalty measures rather than differentiated multidimensional impacts (Azzari &amp; </w:t>
      </w:r>
      <w:proofErr w:type="spellStart"/>
      <w:r>
        <w:rPr>
          <w:rFonts w:ascii="TH SarabunPSK" w:hAnsi="TH SarabunPSK" w:cs="TH SarabunPSK"/>
          <w:sz w:val="28"/>
          <w:szCs w:val="28"/>
        </w:rPr>
        <w:t>Pelissari</w:t>
      </w:r>
      <w:proofErr w:type="spellEnd"/>
      <w:r>
        <w:rPr>
          <w:rFonts w:ascii="TH SarabunPSK" w:hAnsi="TH SarabunPSK" w:cs="TH SarabunPSK"/>
          <w:sz w:val="28"/>
          <w:szCs w:val="28"/>
        </w:rPr>
        <w:t xml:space="preserve">, 2020; Balakrishnan et al., 2014). Furthermore, there is a lack of targeted </w:t>
      </w:r>
      <w:r>
        <w:rPr>
          <w:rFonts w:ascii="TH SarabunPSK" w:hAnsi="TH SarabunPSK" w:cs="TH SarabunPSK"/>
          <w:sz w:val="28"/>
          <w:szCs w:val="28"/>
        </w:rPr>
        <w:t xml:space="preserve">research examining how demographic characteristics influence these loyalty dimensions among consumers in specific urban districts such as </w:t>
      </w:r>
      <w:proofErr w:type="spellStart"/>
      <w:r>
        <w:rPr>
          <w:rFonts w:ascii="TH SarabunPSK" w:hAnsi="TH SarabunPSK" w:cs="TH SarabunPSK"/>
          <w:sz w:val="28"/>
          <w:szCs w:val="28"/>
        </w:rPr>
        <w:t>Tianqiao</w:t>
      </w:r>
      <w:proofErr w:type="spellEnd"/>
      <w:r>
        <w:rPr>
          <w:rFonts w:ascii="TH SarabunPSK" w:hAnsi="TH SarabunPSK" w:cs="TH SarabunPSK"/>
          <w:sz w:val="28"/>
          <w:szCs w:val="28"/>
        </w:rPr>
        <w:t xml:space="preserve"> District, Jinan, which motivates the need for an empirical analysis to clarify these relationships and bridge</w:t>
      </w:r>
      <w:r>
        <w:rPr>
          <w:rFonts w:ascii="TH SarabunPSK" w:hAnsi="TH SarabunPSK" w:cs="TH SarabunPSK"/>
          <w:sz w:val="28"/>
          <w:szCs w:val="28"/>
        </w:rPr>
        <w:t xml:space="preserve"> the gap between brand operations and consumer decision-making in e-commerce contexts.</w:t>
      </w:r>
    </w:p>
    <w:p w14:paraId="39F3BB21" w14:textId="77777777" w:rsidR="00601AAC" w:rsidRDefault="0090397B">
      <w:pPr>
        <w:spacing w:line="240" w:lineRule="auto"/>
        <w:ind w:leftChars="-200" w:left="-440" w:firstLineChars="235" w:firstLine="658"/>
        <w:jc w:val="both"/>
        <w:rPr>
          <w:rFonts w:ascii="SimSun" w:eastAsia="SimSun" w:hAnsi="SimSun" w:cs="SimSun"/>
          <w:sz w:val="24"/>
          <w:szCs w:val="24"/>
        </w:rPr>
      </w:pPr>
      <w:proofErr w:type="spellStart"/>
      <w:r>
        <w:rPr>
          <w:rFonts w:ascii="TH SarabunPSK" w:hAnsi="TH SarabunPSK" w:cs="TH SarabunPSK"/>
          <w:sz w:val="28"/>
          <w:szCs w:val="28"/>
        </w:rPr>
        <w:t>Tianqiao</w:t>
      </w:r>
      <w:proofErr w:type="spellEnd"/>
      <w:r>
        <w:rPr>
          <w:rFonts w:ascii="TH SarabunPSK" w:hAnsi="TH SarabunPSK" w:cs="TH SarabunPSK"/>
          <w:sz w:val="28"/>
          <w:szCs w:val="28"/>
        </w:rPr>
        <w:t xml:space="preserve"> District is a core urban area of Jinan, covering 258.97 km² and achieving a regional GDP of RMB 84.46 billion in 2024, with approximately 3% year-on-year growth</w:t>
      </w:r>
      <w:r>
        <w:rPr>
          <w:rFonts w:ascii="TH SarabunPSK" w:hAnsi="TH SarabunPSK" w:cs="TH SarabunPSK"/>
          <w:sz w:val="28"/>
          <w:szCs w:val="28"/>
        </w:rPr>
        <w:t xml:space="preserve"> and a tertiary industry-dominated structure (English Jinan Government, 2025). Supported by strong transportation infrastructure and modern industrial parks, the district has developed key sectors such as logistics, trade, and e-commerce, reinforcing its r</w:t>
      </w:r>
      <w:r>
        <w:rPr>
          <w:rFonts w:ascii="TH SarabunPSK" w:hAnsi="TH SarabunPSK" w:cs="TH SarabunPSK"/>
          <w:sz w:val="28"/>
          <w:szCs w:val="28"/>
        </w:rPr>
        <w:t>ole in Jinan’s urban economic system (CSPI Ratings, 2025).</w:t>
      </w:r>
    </w:p>
    <w:p w14:paraId="565EA339" w14:textId="77777777" w:rsidR="00601AAC" w:rsidRDefault="0090397B">
      <w:pPr>
        <w:spacing w:line="240" w:lineRule="auto"/>
        <w:ind w:leftChars="-200" w:left="-440"/>
        <w:rPr>
          <w:rFonts w:ascii="TH SarabunPSK" w:hAnsi="TH SarabunPSK" w:cs="TH SarabunPSK"/>
          <w:b/>
          <w:bCs/>
          <w:sz w:val="32"/>
          <w:szCs w:val="32"/>
        </w:rPr>
      </w:pPr>
      <w:r>
        <w:rPr>
          <w:rFonts w:ascii="TH SarabunPSK" w:hAnsi="TH SarabunPSK" w:cs="TH SarabunPSK"/>
          <w:b/>
          <w:bCs/>
          <w:sz w:val="32"/>
          <w:szCs w:val="32"/>
        </w:rPr>
        <w:t>Research Objectives</w:t>
      </w:r>
    </w:p>
    <w:p w14:paraId="07A8B16E" w14:textId="77777777" w:rsidR="00601AAC" w:rsidRDefault="0090397B">
      <w:pPr>
        <w:tabs>
          <w:tab w:val="left" w:pos="660"/>
        </w:tabs>
        <w:spacing w:line="240" w:lineRule="auto"/>
        <w:ind w:leftChars="-200" w:left="-440" w:firstLineChars="235" w:firstLine="658"/>
        <w:rPr>
          <w:rFonts w:ascii="TH SarabunPSK" w:hAnsi="TH SarabunPSK" w:cs="TH SarabunPSK"/>
          <w:sz w:val="28"/>
          <w:szCs w:val="28"/>
          <w:lang w:eastAsia="zh-CN"/>
        </w:rPr>
      </w:pPr>
      <w:r>
        <w:rPr>
          <w:rFonts w:ascii="TH SarabunPSK" w:hAnsi="TH SarabunPSK" w:cs="TH SarabunPSK"/>
          <w:sz w:val="28"/>
          <w:szCs w:val="28"/>
          <w:lang w:eastAsia="zh-CN"/>
        </w:rPr>
        <w:t xml:space="preserve">This research aims to examine the influence of brand loyalty on online purchasing intention of </w:t>
      </w:r>
      <w:proofErr w:type="spellStart"/>
      <w:r>
        <w:rPr>
          <w:rFonts w:ascii="TH SarabunPSK" w:hAnsi="TH SarabunPSK" w:cs="TH SarabunPSK"/>
          <w:sz w:val="28"/>
          <w:szCs w:val="28"/>
          <w:lang w:eastAsia="zh-CN"/>
        </w:rPr>
        <w:t>Tianqiao</w:t>
      </w:r>
      <w:proofErr w:type="spellEnd"/>
      <w:r>
        <w:rPr>
          <w:rFonts w:ascii="TH SarabunPSK" w:hAnsi="TH SarabunPSK" w:cs="TH SarabunPSK"/>
          <w:sz w:val="28"/>
          <w:szCs w:val="28"/>
          <w:lang w:eastAsia="zh-CN"/>
        </w:rPr>
        <w:t xml:space="preserve"> District consumers.</w:t>
      </w:r>
    </w:p>
    <w:p w14:paraId="6DAB75C4" w14:textId="77777777" w:rsidR="00601AAC" w:rsidRDefault="0090397B">
      <w:pPr>
        <w:tabs>
          <w:tab w:val="left" w:pos="660"/>
        </w:tabs>
        <w:spacing w:line="240" w:lineRule="auto"/>
        <w:ind w:leftChars="-200" w:left="-440"/>
        <w:rPr>
          <w:rFonts w:ascii="TH SarabunPSK" w:hAnsi="TH SarabunPSK" w:cs="TH SarabunPSK"/>
          <w:sz w:val="32"/>
          <w:szCs w:val="32"/>
        </w:rPr>
      </w:pPr>
      <w:r>
        <w:rPr>
          <w:rFonts w:ascii="TH SarabunPSK" w:hAnsi="TH SarabunPSK" w:cs="TH SarabunPSK"/>
          <w:b/>
          <w:sz w:val="32"/>
          <w:szCs w:val="32"/>
        </w:rPr>
        <w:t xml:space="preserve">Literature Review </w:t>
      </w:r>
    </w:p>
    <w:p w14:paraId="65D1D1DE" w14:textId="77777777" w:rsidR="00601AAC" w:rsidRDefault="0090397B">
      <w:pPr>
        <w:pStyle w:val="af"/>
        <w:spacing w:after="0" w:line="240" w:lineRule="auto"/>
        <w:ind w:left="0"/>
        <w:jc w:val="both"/>
        <w:rPr>
          <w:rFonts w:ascii="TH SarabunPSK" w:hAnsi="TH SarabunPSK" w:cs="TH SarabunPSK"/>
          <w:bCs/>
          <w:sz w:val="28"/>
        </w:rPr>
      </w:pPr>
      <w:r>
        <w:rPr>
          <w:rFonts w:ascii="TH SarabunPSK" w:hAnsi="TH SarabunPSK" w:cs="TH SarabunPSK" w:hint="eastAsia"/>
          <w:bCs/>
          <w:sz w:val="28"/>
          <w:lang w:eastAsia="zh-CN"/>
        </w:rPr>
        <w:t>-</w:t>
      </w:r>
      <w:r>
        <w:rPr>
          <w:rFonts w:ascii="TH SarabunPSK" w:hAnsi="TH SarabunPSK" w:cs="TH SarabunPSK"/>
          <w:bCs/>
          <w:sz w:val="28"/>
        </w:rPr>
        <w:t>Brand loyalty</w:t>
      </w:r>
    </w:p>
    <w:p w14:paraId="3D6D209E" w14:textId="77777777" w:rsidR="00601AAC" w:rsidRDefault="0090397B">
      <w:pPr>
        <w:pStyle w:val="af"/>
        <w:spacing w:after="0" w:line="240" w:lineRule="auto"/>
        <w:ind w:left="-440" w:firstLineChars="200" w:firstLine="560"/>
        <w:jc w:val="both"/>
        <w:rPr>
          <w:rFonts w:ascii="TH SarabunPSK" w:hAnsi="TH SarabunPSK" w:cs="TH SarabunPSK"/>
          <w:sz w:val="28"/>
          <w:lang w:eastAsia="zh-CN"/>
        </w:rPr>
      </w:pPr>
      <w:r>
        <w:rPr>
          <w:rFonts w:ascii="TH SarabunPSK" w:hAnsi="TH SarabunPSK" w:cs="TH SarabunPSK"/>
          <w:sz w:val="28"/>
          <w:lang w:eastAsia="zh-CN"/>
        </w:rPr>
        <w:t xml:space="preserve">Brand loyalty refers to consumers’ consistent preference and repeated purchasing behavior </w:t>
      </w:r>
      <w:r>
        <w:rPr>
          <w:rFonts w:ascii="TH SarabunPSK" w:hAnsi="TH SarabunPSK" w:cs="TH SarabunPSK"/>
          <w:sz w:val="28"/>
          <w:lang w:eastAsia="zh-CN"/>
        </w:rPr>
        <w:t>toward a brand (Oliver, 1999). Aaker (1991) proposed that brand loyalty develops progressively from brand awareness to emotional attachment and behavioral commitment. Previous stud</w:t>
      </w:r>
      <w:r>
        <w:rPr>
          <w:rFonts w:ascii="TH SarabunPSK" w:hAnsi="TH SarabunPSK" w:cs="TH SarabunPSK"/>
          <w:spacing w:val="-11"/>
          <w:sz w:val="28"/>
          <w:lang w:eastAsia="zh-CN"/>
        </w:rPr>
        <w:t>ies commonly co</w:t>
      </w:r>
      <w:r>
        <w:rPr>
          <w:rFonts w:ascii="TH SarabunPSK" w:hAnsi="TH SarabunPSK" w:cs="TH SarabunPSK"/>
          <w:sz w:val="28"/>
          <w:lang w:eastAsia="zh-CN"/>
        </w:rPr>
        <w:t>nceptualize brand loyalty as a multidimensional construct inc</w:t>
      </w:r>
      <w:r>
        <w:rPr>
          <w:rFonts w:ascii="TH SarabunPSK" w:hAnsi="TH SarabunPSK" w:cs="TH SarabunPSK"/>
          <w:sz w:val="28"/>
          <w:lang w:eastAsia="zh-CN"/>
        </w:rPr>
        <w:t xml:space="preserve">luding cognitive, emotional, and behavioral components </w:t>
      </w:r>
      <w:r>
        <w:rPr>
          <w:rFonts w:ascii="TH SarabunPSK" w:hAnsi="TH SarabunPSK" w:cs="TH SarabunPSK"/>
          <w:sz w:val="28"/>
          <w:lang w:eastAsia="zh-CN"/>
        </w:rPr>
        <w:lastRenderedPageBreak/>
        <w:t xml:space="preserve">(Aaker, 1996). In online shopping contexts, brand recall and brand preference are found to significantly influence purchase decisions through prior experience and perceived quality, while higher-order </w:t>
      </w:r>
      <w:r>
        <w:rPr>
          <w:rFonts w:ascii="TH SarabunPSK" w:hAnsi="TH SarabunPSK" w:cs="TH SarabunPSK"/>
          <w:sz w:val="28"/>
          <w:lang w:eastAsia="zh-CN"/>
        </w:rPr>
        <w:t xml:space="preserve">loyalty dimensions such as brand insistence and emotional attachment are often weakened by price competition and limited personalization (Balakrishnan et al., 2014; Azzari &amp; </w:t>
      </w:r>
      <w:proofErr w:type="spellStart"/>
      <w:r>
        <w:rPr>
          <w:rFonts w:ascii="TH SarabunPSK" w:hAnsi="TH SarabunPSK" w:cs="TH SarabunPSK"/>
          <w:sz w:val="28"/>
          <w:lang w:eastAsia="zh-CN"/>
        </w:rPr>
        <w:t>Pelissari</w:t>
      </w:r>
      <w:proofErr w:type="spellEnd"/>
      <w:r>
        <w:rPr>
          <w:rFonts w:ascii="TH SarabunPSK" w:hAnsi="TH SarabunPSK" w:cs="TH SarabunPSK"/>
          <w:sz w:val="28"/>
          <w:lang w:eastAsia="zh-CN"/>
        </w:rPr>
        <w:t>, 2020).</w:t>
      </w:r>
    </w:p>
    <w:p w14:paraId="1E89279D" w14:textId="77777777" w:rsidR="00601AAC" w:rsidRDefault="0090397B">
      <w:pPr>
        <w:pStyle w:val="af"/>
        <w:tabs>
          <w:tab w:val="left" w:pos="0"/>
        </w:tabs>
        <w:spacing w:after="0" w:line="240" w:lineRule="auto"/>
        <w:ind w:left="0"/>
        <w:jc w:val="both"/>
        <w:rPr>
          <w:rStyle w:val="20"/>
          <w:rFonts w:ascii="TH SarabunPSK" w:hAnsi="TH SarabunPSK" w:cs="TH SarabunPSK"/>
          <w:b w:val="0"/>
          <w:bCs w:val="0"/>
          <w:sz w:val="28"/>
          <w:szCs w:val="28"/>
          <w:lang w:eastAsia="zh-CN"/>
        </w:rPr>
      </w:pPr>
      <w:r>
        <w:rPr>
          <w:rStyle w:val="20"/>
          <w:rFonts w:ascii="TH SarabunPSK" w:hAnsi="TH SarabunPSK" w:cs="TH SarabunPSK" w:hint="eastAsia"/>
          <w:b w:val="0"/>
          <w:bCs w:val="0"/>
          <w:sz w:val="28"/>
          <w:szCs w:val="28"/>
          <w:lang w:eastAsia="zh-CN"/>
        </w:rPr>
        <w:t>-</w:t>
      </w:r>
      <w:r>
        <w:rPr>
          <w:rStyle w:val="20"/>
          <w:rFonts w:ascii="TH SarabunPSK" w:hAnsi="TH SarabunPSK" w:cs="TH SarabunPSK"/>
          <w:b w:val="0"/>
          <w:bCs w:val="0"/>
          <w:sz w:val="28"/>
          <w:szCs w:val="28"/>
          <w:lang w:eastAsia="zh-CN"/>
        </w:rPr>
        <w:t>Purchasing intention</w:t>
      </w:r>
      <w:r>
        <w:rPr>
          <w:rStyle w:val="20"/>
          <w:rFonts w:ascii="TH SarabunPSK" w:hAnsi="TH SarabunPSK" w:cs="TH SarabunPSK" w:hint="eastAsia"/>
          <w:b w:val="0"/>
          <w:bCs w:val="0"/>
          <w:sz w:val="28"/>
          <w:szCs w:val="28"/>
          <w:lang w:eastAsia="zh-CN"/>
        </w:rPr>
        <w:t xml:space="preserve"> </w:t>
      </w:r>
    </w:p>
    <w:p w14:paraId="0EC18030" w14:textId="77777777" w:rsidR="00601AAC" w:rsidRDefault="0090397B">
      <w:pPr>
        <w:pStyle w:val="af"/>
        <w:tabs>
          <w:tab w:val="left" w:pos="0"/>
        </w:tabs>
        <w:spacing w:after="0" w:line="240" w:lineRule="auto"/>
        <w:ind w:leftChars="-199" w:left="-438" w:firstLineChars="200" w:firstLine="560"/>
        <w:jc w:val="both"/>
        <w:rPr>
          <w:rFonts w:ascii="TH SarabunPSK" w:hAnsi="TH SarabunPSK" w:cs="TH SarabunPSK"/>
          <w:sz w:val="28"/>
          <w:lang w:eastAsia="zh-CN"/>
        </w:rPr>
      </w:pPr>
      <w:r>
        <w:rPr>
          <w:rFonts w:ascii="TH SarabunPSK" w:hAnsi="TH SarabunPSK" w:cs="TH SarabunPSK"/>
          <w:sz w:val="28"/>
          <w:lang w:eastAsia="zh-CN"/>
        </w:rPr>
        <w:t>Purchase intention reflects consumers’ li</w:t>
      </w:r>
      <w:r>
        <w:rPr>
          <w:rFonts w:ascii="TH SarabunPSK" w:hAnsi="TH SarabunPSK" w:cs="TH SarabunPSK"/>
          <w:sz w:val="28"/>
          <w:lang w:eastAsia="zh-CN"/>
        </w:rPr>
        <w:t>kelihood of buying a product or service and is a strong predictor of actual behavior (Fishbein &amp; Ajzen, 1975). In e-commerce environments, purchase intention is shaped by trust, satisfaction, and brand-related perceptions (Kim &amp; Kim, 2005). Empirical evide</w:t>
      </w:r>
      <w:r>
        <w:rPr>
          <w:rFonts w:ascii="TH SarabunPSK" w:hAnsi="TH SarabunPSK" w:cs="TH SarabunPSK"/>
          <w:sz w:val="28"/>
          <w:lang w:eastAsia="zh-CN"/>
        </w:rPr>
        <w:t>nce suggests that brand loyalty positively affects purchase intention by reducing perceived risk and strengthening consumer confidence (</w:t>
      </w:r>
      <w:proofErr w:type="spellStart"/>
      <w:r>
        <w:rPr>
          <w:rFonts w:ascii="TH SarabunPSK" w:hAnsi="TH SarabunPSK" w:cs="TH SarabunPSK"/>
          <w:sz w:val="28"/>
          <w:lang w:eastAsia="zh-CN"/>
        </w:rPr>
        <w:t>Ranjbariyan</w:t>
      </w:r>
      <w:proofErr w:type="spellEnd"/>
      <w:r>
        <w:rPr>
          <w:rFonts w:ascii="TH SarabunPSK" w:hAnsi="TH SarabunPSK" w:cs="TH SarabunPSK"/>
          <w:sz w:val="28"/>
          <w:lang w:eastAsia="zh-CN"/>
        </w:rPr>
        <w:t xml:space="preserve"> et al., 2012). However, existing research mainly focuses on overall loyalty, with limited attention to the d</w:t>
      </w:r>
      <w:r>
        <w:rPr>
          <w:rFonts w:ascii="TH SarabunPSK" w:hAnsi="TH SarabunPSK" w:cs="TH SarabunPSK"/>
          <w:sz w:val="28"/>
          <w:lang w:eastAsia="zh-CN"/>
        </w:rPr>
        <w:t>ifferentiated effects of loyalty dimensions, especially at the district level in China. Therefore, further empirical studies are needed to clarify how various brand loyalty dimensions influence online purchase intention.</w:t>
      </w:r>
    </w:p>
    <w:p w14:paraId="305F7639" w14:textId="77777777" w:rsidR="00601AAC" w:rsidRDefault="00601AAC">
      <w:pPr>
        <w:pStyle w:val="af"/>
        <w:tabs>
          <w:tab w:val="left" w:pos="0"/>
        </w:tabs>
        <w:spacing w:after="0" w:line="240" w:lineRule="auto"/>
        <w:ind w:leftChars="-200" w:left="-440"/>
        <w:jc w:val="both"/>
        <w:rPr>
          <w:rFonts w:ascii="TH SarabunPSK" w:hAnsi="TH SarabunPSK" w:cs="TH SarabunPSK"/>
          <w:b/>
          <w:sz w:val="32"/>
          <w:szCs w:val="32"/>
          <w:lang w:eastAsia="zh-CN"/>
        </w:rPr>
      </w:pPr>
    </w:p>
    <w:p w14:paraId="594738CE" w14:textId="77777777" w:rsidR="00601AAC" w:rsidRDefault="0090397B">
      <w:pPr>
        <w:pStyle w:val="af"/>
        <w:tabs>
          <w:tab w:val="left" w:pos="0"/>
        </w:tabs>
        <w:spacing w:after="0" w:line="240" w:lineRule="auto"/>
        <w:ind w:leftChars="-200" w:left="-440"/>
        <w:jc w:val="both"/>
        <w:rPr>
          <w:rFonts w:ascii="TH SarabunPSK" w:hAnsi="TH SarabunPSK" w:cs="TH SarabunPSK"/>
          <w:b/>
          <w:sz w:val="32"/>
          <w:szCs w:val="32"/>
          <w:lang w:eastAsia="zh-CN"/>
        </w:rPr>
      </w:pPr>
      <w:r>
        <w:rPr>
          <w:rFonts w:ascii="TH SarabunPSK" w:hAnsi="TH SarabunPSK" w:cs="TH SarabunPSK"/>
          <w:b/>
          <w:sz w:val="32"/>
          <w:szCs w:val="32"/>
          <w:lang w:eastAsia="zh-CN"/>
        </w:rPr>
        <w:t xml:space="preserve">Related research </w:t>
      </w:r>
    </w:p>
    <w:p w14:paraId="1C5B1759" w14:textId="77777777" w:rsidR="00601AAC" w:rsidRDefault="0090397B">
      <w:pPr>
        <w:tabs>
          <w:tab w:val="left" w:pos="2430"/>
        </w:tabs>
        <w:spacing w:after="0" w:line="240" w:lineRule="auto"/>
        <w:ind w:leftChars="-200" w:left="-440" w:firstLine="800"/>
        <w:jc w:val="both"/>
        <w:rPr>
          <w:rFonts w:ascii="TH SarabunPSK" w:hAnsi="TH SarabunPSK" w:cs="TH SarabunPSK"/>
          <w:sz w:val="28"/>
          <w:szCs w:val="28"/>
          <w:lang w:eastAsia="zh-CN"/>
        </w:rPr>
      </w:pPr>
      <w:r>
        <w:rPr>
          <w:rFonts w:ascii="TH SarabunPSK" w:hAnsi="TH SarabunPSK" w:cs="TH SarabunPSK"/>
          <w:sz w:val="28"/>
          <w:szCs w:val="28"/>
          <w:lang w:eastAsia="zh-CN"/>
        </w:rPr>
        <w:t>Previous studies</w:t>
      </w:r>
      <w:r>
        <w:rPr>
          <w:rFonts w:ascii="TH SarabunPSK" w:hAnsi="TH SarabunPSK" w:cs="TH SarabunPSK"/>
          <w:sz w:val="28"/>
          <w:szCs w:val="28"/>
          <w:lang w:eastAsia="zh-CN"/>
        </w:rPr>
        <w:t xml:space="preserve"> confirm that brand loyalty strongly influences long-term purchasing behavior and brand preference (Aaker, 1991; Chaudhuri &amp; Holbrook, 2001; </w:t>
      </w:r>
      <w:proofErr w:type="spellStart"/>
      <w:r>
        <w:rPr>
          <w:rFonts w:ascii="TH SarabunPSK" w:hAnsi="TH SarabunPSK" w:cs="TH SarabunPSK"/>
          <w:sz w:val="28"/>
          <w:szCs w:val="28"/>
          <w:lang w:eastAsia="zh-CN"/>
        </w:rPr>
        <w:t>Foroudi</w:t>
      </w:r>
      <w:proofErr w:type="spellEnd"/>
      <w:r>
        <w:rPr>
          <w:rFonts w:ascii="TH SarabunPSK" w:hAnsi="TH SarabunPSK" w:cs="TH SarabunPSK"/>
          <w:sz w:val="28"/>
          <w:szCs w:val="28"/>
          <w:lang w:eastAsia="zh-CN"/>
        </w:rPr>
        <w:t xml:space="preserve"> et al., 2018; Oliver, 1999). Brand loyalty is commonly viewed as a multidimensional construct involving cog</w:t>
      </w:r>
      <w:r>
        <w:rPr>
          <w:rFonts w:ascii="TH SarabunPSK" w:hAnsi="TH SarabunPSK" w:cs="TH SarabunPSK"/>
          <w:sz w:val="28"/>
          <w:szCs w:val="28"/>
          <w:lang w:eastAsia="zh-CN"/>
        </w:rPr>
        <w:t>nitive, emotional, and behavioral components, shaped by factors such as product quality, brand image, and emotional connection, especially in digital environments. Consumer decision-making has also evolved from rational models toward emotional and socially</w:t>
      </w:r>
      <w:r>
        <w:rPr>
          <w:rFonts w:ascii="TH SarabunPSK" w:hAnsi="TH SarabunPSK" w:cs="TH SarabunPSK"/>
          <w:sz w:val="28"/>
          <w:szCs w:val="28"/>
          <w:lang w:eastAsia="zh-CN"/>
        </w:rPr>
        <w:t xml:space="preserve"> influenced processes, with habit, attachment, and social interaction playing key roles. In China’s rapidly expanding e-commerce context, mobile commerce, live streaming, online reviews, and personalized marketing further reshape purchasing behavior, indic</w:t>
      </w:r>
      <w:r>
        <w:rPr>
          <w:rFonts w:ascii="TH SarabunPSK" w:hAnsi="TH SarabunPSK" w:cs="TH SarabunPSK"/>
          <w:sz w:val="28"/>
          <w:szCs w:val="28"/>
          <w:lang w:eastAsia="zh-CN"/>
        </w:rPr>
        <w:t>ating that brand loyalty and digital engagement jointly drive contemporary consumer decisions.</w:t>
      </w:r>
    </w:p>
    <w:p w14:paraId="6D9B6302" w14:textId="77777777" w:rsidR="00601AAC" w:rsidRDefault="00601AAC">
      <w:pPr>
        <w:tabs>
          <w:tab w:val="left" w:pos="2430"/>
        </w:tabs>
        <w:spacing w:after="0" w:line="240" w:lineRule="auto"/>
        <w:ind w:leftChars="-200" w:left="-440"/>
        <w:jc w:val="both"/>
        <w:rPr>
          <w:rFonts w:ascii="TH SarabunPSK" w:hAnsi="TH SarabunPSK" w:cs="TH SarabunPSK"/>
          <w:b/>
          <w:bCs/>
          <w:spacing w:val="-6"/>
          <w:sz w:val="32"/>
          <w:szCs w:val="32"/>
          <w:lang w:eastAsia="zh-CN"/>
        </w:rPr>
      </w:pPr>
    </w:p>
    <w:p w14:paraId="7D322DF9" w14:textId="77777777" w:rsidR="00601AAC" w:rsidRDefault="0090397B">
      <w:pPr>
        <w:tabs>
          <w:tab w:val="left" w:pos="2430"/>
        </w:tabs>
        <w:spacing w:after="0" w:line="240" w:lineRule="auto"/>
        <w:ind w:leftChars="-200" w:left="-440"/>
        <w:jc w:val="both"/>
        <w:rPr>
          <w:rFonts w:ascii="TH SarabunPSK" w:hAnsi="TH SarabunPSK" w:cs="TH SarabunPSK"/>
          <w:b/>
          <w:bCs/>
          <w:sz w:val="32"/>
          <w:szCs w:val="32"/>
        </w:rPr>
      </w:pPr>
      <w:r>
        <w:rPr>
          <w:rFonts w:ascii="TH SarabunPSK" w:hAnsi="TH SarabunPSK" w:cs="TH SarabunPSK"/>
          <w:b/>
          <w:bCs/>
          <w:spacing w:val="-6"/>
          <w:sz w:val="32"/>
          <w:szCs w:val="32"/>
          <w:lang w:eastAsia="zh-CN"/>
        </w:rPr>
        <w:t>Research Framework</w:t>
      </w:r>
    </w:p>
    <w:p w14:paraId="091A992E" w14:textId="77777777" w:rsidR="00601AAC" w:rsidRDefault="00601AAC">
      <w:pPr>
        <w:spacing w:after="0" w:line="240" w:lineRule="auto"/>
        <w:jc w:val="both"/>
        <w:rPr>
          <w:rFonts w:ascii="TH SarabunPSK" w:hAnsi="TH SarabunPSK" w:cs="TH SarabunPSK"/>
          <w:sz w:val="32"/>
          <w:szCs w:val="32"/>
        </w:rPr>
      </w:pPr>
    </w:p>
    <w:p w14:paraId="5C732697" w14:textId="77777777" w:rsidR="00601AAC" w:rsidRDefault="00601AAC">
      <w:pPr>
        <w:spacing w:after="0" w:line="240" w:lineRule="auto"/>
        <w:jc w:val="both"/>
        <w:rPr>
          <w:rFonts w:ascii="TH SarabunPSK" w:hAnsi="TH SarabunPSK" w:cs="TH SarabunPSK"/>
          <w:sz w:val="32"/>
          <w:szCs w:val="32"/>
        </w:rPr>
      </w:pPr>
    </w:p>
    <w:p w14:paraId="489C677D" w14:textId="77777777" w:rsidR="00601AAC" w:rsidRDefault="00601AAC">
      <w:pPr>
        <w:spacing w:after="0" w:line="240" w:lineRule="auto"/>
        <w:jc w:val="both"/>
        <w:rPr>
          <w:rFonts w:ascii="TH SarabunPSK" w:hAnsi="TH SarabunPSK" w:cs="TH SarabunPSK"/>
          <w:sz w:val="32"/>
          <w:szCs w:val="32"/>
        </w:rPr>
      </w:pPr>
    </w:p>
    <w:p w14:paraId="333B112F" w14:textId="77777777" w:rsidR="00601AAC" w:rsidRDefault="00601AAC">
      <w:pPr>
        <w:spacing w:after="0" w:line="240" w:lineRule="auto"/>
        <w:jc w:val="both"/>
        <w:rPr>
          <w:rFonts w:ascii="TH SarabunPSK" w:hAnsi="TH SarabunPSK" w:cs="TH SarabunPSK"/>
          <w:sz w:val="32"/>
          <w:szCs w:val="32"/>
        </w:rPr>
      </w:pPr>
    </w:p>
    <w:p w14:paraId="7C0F0BB1" w14:textId="77777777" w:rsidR="00601AAC" w:rsidRDefault="0090397B">
      <w:pPr>
        <w:spacing w:after="0" w:line="240" w:lineRule="auto"/>
        <w:jc w:val="both"/>
        <w:rPr>
          <w:rFonts w:ascii="TH SarabunPSK" w:hAnsi="TH SarabunPSK" w:cs="TH SarabunPSK"/>
          <w:sz w:val="32"/>
          <w:szCs w:val="32"/>
        </w:rPr>
      </w:pPr>
      <w:r>
        <w:rPr>
          <w:rFonts w:ascii="TH SarabunPSK" w:hAnsi="TH SarabunPSK" w:cs="TH SarabunPSK"/>
          <w:noProof/>
          <w:sz w:val="32"/>
          <w:szCs w:val="32"/>
        </w:rPr>
        <mc:AlternateContent>
          <mc:Choice Requires="wpg">
            <w:drawing>
              <wp:anchor distT="0" distB="0" distL="114300" distR="114300" simplePos="0" relativeHeight="251659264" behindDoc="0" locked="0" layoutInCell="1" allowOverlap="1" wp14:anchorId="1A0D8E2B" wp14:editId="1513D94C">
                <wp:simplePos x="0" y="0"/>
                <wp:positionH relativeFrom="column">
                  <wp:posOffset>346075</wp:posOffset>
                </wp:positionH>
                <wp:positionV relativeFrom="paragraph">
                  <wp:posOffset>-291465</wp:posOffset>
                </wp:positionV>
                <wp:extent cx="4370070" cy="1823720"/>
                <wp:effectExtent l="6350" t="6350" r="12700" b="13970"/>
                <wp:wrapNone/>
                <wp:docPr id="15" name="组合 15"/>
                <wp:cNvGraphicFramePr/>
                <a:graphic xmlns:a="http://schemas.openxmlformats.org/drawingml/2006/main">
                  <a:graphicData uri="http://schemas.microsoft.com/office/word/2010/wordprocessingGroup">
                    <wpg:wgp>
                      <wpg:cNvGrpSpPr/>
                      <wpg:grpSpPr>
                        <a:xfrm>
                          <a:off x="0" y="0"/>
                          <a:ext cx="4370179" cy="1823720"/>
                          <a:chOff x="3901" y="91306"/>
                          <a:chExt cx="6431" cy="2872"/>
                        </a:xfrm>
                      </wpg:grpSpPr>
                      <wps:wsp>
                        <wps:cNvPr id="1" name="流程图: 过程 1"/>
                        <wps:cNvSpPr/>
                        <wps:spPr>
                          <a:xfrm>
                            <a:off x="3901" y="91306"/>
                            <a:ext cx="2498" cy="2872"/>
                          </a:xfrm>
                          <a:prstGeom prst="flowChartProcess">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4D1A2EBB" w14:textId="77777777" w:rsidR="00601AAC" w:rsidRDefault="0090397B">
                              <w:pPr>
                                <w:spacing w:after="0" w:line="240" w:lineRule="auto"/>
                                <w:rPr>
                                  <w:rFonts w:ascii="TH SarabunPSK" w:hAnsi="TH SarabunPSK" w:cs="TH SarabunPSK"/>
                                  <w:b/>
                                  <w:bCs/>
                                  <w:sz w:val="28"/>
                                  <w:szCs w:val="28"/>
                                </w:rPr>
                              </w:pPr>
                              <w:r>
                                <w:rPr>
                                  <w:rFonts w:ascii="TH SarabunPSK" w:hAnsi="TH SarabunPSK" w:cs="TH SarabunPSK"/>
                                  <w:b/>
                                  <w:bCs/>
                                  <w:sz w:val="28"/>
                                  <w:szCs w:val="28"/>
                                </w:rPr>
                                <w:t>Brand loyalty</w:t>
                              </w:r>
                            </w:p>
                            <w:p w14:paraId="007F8CC9" w14:textId="77777777" w:rsidR="00601AAC" w:rsidRDefault="0090397B">
                              <w:pPr>
                                <w:spacing w:after="0" w:line="240" w:lineRule="auto"/>
                                <w:rPr>
                                  <w:rFonts w:ascii="TH SarabunPSK" w:hAnsi="TH SarabunPSK" w:cs="TH SarabunPSK"/>
                                  <w:sz w:val="28"/>
                                  <w:szCs w:val="28"/>
                                </w:rPr>
                              </w:pPr>
                              <w:r>
                                <w:rPr>
                                  <w:rFonts w:ascii="TH SarabunPSK" w:hAnsi="TH SarabunPSK" w:cs="TH SarabunPSK"/>
                                  <w:sz w:val="28"/>
                                  <w:szCs w:val="28"/>
                                </w:rPr>
                                <w:t>-Brand Recognition</w:t>
                              </w:r>
                            </w:p>
                            <w:p w14:paraId="3848AE1F" w14:textId="77777777" w:rsidR="00601AAC" w:rsidRDefault="0090397B">
                              <w:pPr>
                                <w:spacing w:after="0" w:line="240" w:lineRule="auto"/>
                                <w:rPr>
                                  <w:rFonts w:ascii="TH SarabunPSK" w:hAnsi="TH SarabunPSK" w:cs="TH SarabunPSK"/>
                                  <w:sz w:val="28"/>
                                  <w:szCs w:val="28"/>
                                </w:rPr>
                              </w:pPr>
                              <w:r>
                                <w:rPr>
                                  <w:rFonts w:ascii="TH SarabunPSK" w:hAnsi="TH SarabunPSK" w:cs="TH SarabunPSK"/>
                                  <w:sz w:val="28"/>
                                  <w:szCs w:val="28"/>
                                </w:rPr>
                                <w:t>-Brand Recall</w:t>
                              </w:r>
                            </w:p>
                            <w:p w14:paraId="574CB075" w14:textId="77777777" w:rsidR="00601AAC" w:rsidRDefault="0090397B">
                              <w:pPr>
                                <w:spacing w:after="0" w:line="240" w:lineRule="auto"/>
                                <w:rPr>
                                  <w:rFonts w:ascii="TH SarabunPSK" w:hAnsi="TH SarabunPSK" w:cs="TH SarabunPSK"/>
                                  <w:sz w:val="28"/>
                                  <w:szCs w:val="28"/>
                                </w:rPr>
                              </w:pPr>
                              <w:r>
                                <w:rPr>
                                  <w:rFonts w:ascii="TH SarabunPSK" w:hAnsi="TH SarabunPSK" w:cs="TH SarabunPSK"/>
                                  <w:sz w:val="28"/>
                                  <w:szCs w:val="28"/>
                                </w:rPr>
                                <w:t>-Brand Preference</w:t>
                              </w:r>
                            </w:p>
                            <w:p w14:paraId="341A4B9A" w14:textId="77777777" w:rsidR="00601AAC" w:rsidRDefault="0090397B">
                              <w:pPr>
                                <w:spacing w:after="0" w:line="240" w:lineRule="auto"/>
                                <w:rPr>
                                  <w:rFonts w:ascii="TH SarabunPSK" w:hAnsi="TH SarabunPSK" w:cs="TH SarabunPSK"/>
                                  <w:sz w:val="28"/>
                                  <w:szCs w:val="28"/>
                                </w:rPr>
                              </w:pPr>
                              <w:r>
                                <w:rPr>
                                  <w:rFonts w:ascii="TH SarabunPSK" w:hAnsi="TH SarabunPSK" w:cs="TH SarabunPSK"/>
                                  <w:sz w:val="28"/>
                                  <w:szCs w:val="28"/>
                                </w:rPr>
                                <w:t>-Brand Insistence</w:t>
                              </w:r>
                            </w:p>
                            <w:p w14:paraId="6FD31747" w14:textId="77777777" w:rsidR="00601AAC" w:rsidRDefault="0090397B">
                              <w:pPr>
                                <w:rPr>
                                  <w:rFonts w:ascii="TH SarabunPSK" w:hAnsi="TH SarabunPSK" w:cs="TH SarabunPSK"/>
                                  <w:sz w:val="28"/>
                                  <w:szCs w:val="28"/>
                                </w:rPr>
                              </w:pPr>
                              <w:r>
                                <w:rPr>
                                  <w:rFonts w:ascii="TH SarabunPSK" w:hAnsi="TH SarabunPSK" w:cs="TH SarabunPSK"/>
                                  <w:sz w:val="28"/>
                                  <w:szCs w:val="28"/>
                                </w:rPr>
                                <w:t>-Emotional Attachment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 name="直接箭头连接符 2"/>
                        <wps:cNvCnPr/>
                        <wps:spPr>
                          <a:xfrm>
                            <a:off x="6387" y="93041"/>
                            <a:ext cx="1566" cy="24"/>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wps:wsp>
                        <wps:cNvPr id="3" name="流程图: 过程 3"/>
                        <wps:cNvSpPr/>
                        <wps:spPr>
                          <a:xfrm>
                            <a:off x="7953" y="92522"/>
                            <a:ext cx="2379" cy="1121"/>
                          </a:xfrm>
                          <a:prstGeom prst="flowChartProcess">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40B96525" w14:textId="77777777" w:rsidR="00601AAC" w:rsidRDefault="0090397B">
                              <w:pPr>
                                <w:jc w:val="center"/>
                                <w:rPr>
                                  <w:rFonts w:ascii="TH SarabunPSK" w:hAnsi="TH SarabunPSK" w:cs="TH SarabunPSK"/>
                                  <w:b/>
                                  <w:bCs/>
                                  <w:sz w:val="28"/>
                                  <w:szCs w:val="28"/>
                                </w:rPr>
                              </w:pPr>
                              <w:r>
                                <w:rPr>
                                  <w:rFonts w:ascii="TH SarabunPSK" w:hAnsi="TH SarabunPSK" w:cs="TH SarabunPSK"/>
                                  <w:b/>
                                  <w:bCs/>
                                  <w:sz w:val="28"/>
                                  <w:szCs w:val="28"/>
                                </w:rPr>
                                <w:t xml:space="preserve">Purchasing </w:t>
                              </w:r>
                              <w:r>
                                <w:rPr>
                                  <w:rFonts w:ascii="TH SarabunPSK" w:hAnsi="TH SarabunPSK" w:cs="TH SarabunPSK"/>
                                  <w:b/>
                                  <w:bCs/>
                                  <w:sz w:val="28"/>
                                  <w:szCs w:val="28"/>
                                </w:rPr>
                                <w:t>intention</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oel="http://schemas.microsoft.com/office/2019/extlst">
            <w:pict>
              <v:group id="_x0000_s1026" o:spid="_x0000_s1026" o:spt="203" style="position:absolute;left:0pt;margin-left:27.25pt;margin-top:-22.95pt;height:143.6pt;width:344.1pt;z-index:251659264;mso-width-relative:page;mso-height-relative:page;" coordorigin="3901,91306" coordsize="6431,2872" o:gfxdata="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">
                <o:lock v:ext="edit" aspectratio="f"/>
                <v:shape id="_x0000_s1026" o:spid="_x0000_s1026" o:spt="109" type="#_x0000_t109" style="position:absolute;left:3901;top:91306;height:2872;width:2498;v-text-anchor:middle;" fillcolor="#4472C4 [3204]" filled="t" stroked="t" coordsize="21600,21600" o:gfxdata="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TXsHougAAANoA&#10;AAAPAAAAAAAAAAEAIAAAACIAAABkcnMvZG93bnJldi54bWxQSwECFAAUAAAACACHTuJAMy8FnjsA&#10;AAA5AAAAEAAAAAAAAAABACAAAAAJAQAAZHJzL3NoYXBleG1sLnhtbFBLBQYAAAAABgAGAFsBAACz&#10;AwAAAAA=&#10;">
                  <v:fill on="t" focussize="0,0"/>
                  <v:stroke weight="1pt" color="#2F5597 [2404]" miterlimit="8" joinstyle="miter"/>
                  <v:imagedata o:title=""/>
                  <o:lock v:ext="edit" aspectratio="f"/>
                  <v:textbox>
                    <w:txbxContent>
                      <w:p w14:paraId="155B9B1F">
                        <w:pPr>
                          <w:spacing w:after="0" w:line="240" w:lineRule="auto"/>
                          <w:rPr>
                            <w:rFonts w:ascii="TH SarabunPSK" w:hAnsi="TH SarabunPSK" w:cs="TH SarabunPSK"/>
                            <w:b/>
                            <w:bCs/>
                            <w:sz w:val="28"/>
                            <w:szCs w:val="28"/>
                          </w:rPr>
                        </w:pPr>
                        <w:r>
                          <w:rPr>
                            <w:rFonts w:ascii="TH SarabunPSK" w:hAnsi="TH SarabunPSK" w:cs="TH SarabunPSK"/>
                            <w:b/>
                            <w:bCs/>
                            <w:sz w:val="28"/>
                            <w:szCs w:val="28"/>
                          </w:rPr>
                          <w:t>Brand loyalty</w:t>
                        </w:r>
                      </w:p>
                      <w:p w14:paraId="765AAE2E">
                        <w:pPr>
                          <w:spacing w:after="0" w:line="240" w:lineRule="auto"/>
                          <w:rPr>
                            <w:rFonts w:ascii="TH SarabunPSK" w:hAnsi="TH SarabunPSK" w:cs="TH SarabunPSK"/>
                            <w:sz w:val="28"/>
                            <w:szCs w:val="28"/>
                          </w:rPr>
                        </w:pPr>
                        <w:r>
                          <w:rPr>
                            <w:rFonts w:ascii="TH SarabunPSK" w:hAnsi="TH SarabunPSK" w:cs="TH SarabunPSK"/>
                            <w:sz w:val="28"/>
                            <w:szCs w:val="28"/>
                          </w:rPr>
                          <w:t>-Brand Recognition</w:t>
                        </w:r>
                      </w:p>
                      <w:p w14:paraId="0FD90437">
                        <w:pPr>
                          <w:spacing w:after="0" w:line="240" w:lineRule="auto"/>
                          <w:rPr>
                            <w:rFonts w:ascii="TH SarabunPSK" w:hAnsi="TH SarabunPSK" w:cs="TH SarabunPSK"/>
                            <w:sz w:val="28"/>
                            <w:szCs w:val="28"/>
                          </w:rPr>
                        </w:pPr>
                        <w:r>
                          <w:rPr>
                            <w:rFonts w:ascii="TH SarabunPSK" w:hAnsi="TH SarabunPSK" w:cs="TH SarabunPSK"/>
                            <w:sz w:val="28"/>
                            <w:szCs w:val="28"/>
                          </w:rPr>
                          <w:t>-Brand Recall</w:t>
                        </w:r>
                      </w:p>
                      <w:p w14:paraId="13835BDE">
                        <w:pPr>
                          <w:spacing w:after="0" w:line="240" w:lineRule="auto"/>
                          <w:rPr>
                            <w:rFonts w:ascii="TH SarabunPSK" w:hAnsi="TH SarabunPSK" w:cs="TH SarabunPSK"/>
                            <w:sz w:val="28"/>
                            <w:szCs w:val="28"/>
                          </w:rPr>
                        </w:pPr>
                        <w:r>
                          <w:rPr>
                            <w:rFonts w:ascii="TH SarabunPSK" w:hAnsi="TH SarabunPSK" w:cs="TH SarabunPSK"/>
                            <w:sz w:val="28"/>
                            <w:szCs w:val="28"/>
                          </w:rPr>
                          <w:t>-Brand Preference</w:t>
                        </w:r>
                      </w:p>
                      <w:p w14:paraId="31681BBB">
                        <w:pPr>
                          <w:spacing w:after="0" w:line="240" w:lineRule="auto"/>
                          <w:rPr>
                            <w:rFonts w:ascii="TH SarabunPSK" w:hAnsi="TH SarabunPSK" w:cs="TH SarabunPSK"/>
                            <w:sz w:val="28"/>
                            <w:szCs w:val="28"/>
                          </w:rPr>
                        </w:pPr>
                        <w:r>
                          <w:rPr>
                            <w:rFonts w:ascii="TH SarabunPSK" w:hAnsi="TH SarabunPSK" w:cs="TH SarabunPSK"/>
                            <w:sz w:val="28"/>
                            <w:szCs w:val="28"/>
                          </w:rPr>
                          <w:t>-Brand Insistence</w:t>
                        </w:r>
                      </w:p>
                      <w:p w14:paraId="01FCA4BD">
                        <w:pPr>
                          <w:rPr>
                            <w:rFonts w:ascii="TH SarabunPSK" w:hAnsi="TH SarabunPSK" w:cs="TH SarabunPSK"/>
                            <w:sz w:val="28"/>
                            <w:szCs w:val="28"/>
                          </w:rPr>
                        </w:pPr>
                        <w:r>
                          <w:rPr>
                            <w:rFonts w:ascii="TH SarabunPSK" w:hAnsi="TH SarabunPSK" w:cs="TH SarabunPSK"/>
                            <w:sz w:val="28"/>
                            <w:szCs w:val="28"/>
                          </w:rPr>
                          <w:t>-Emotional Attachment</w:t>
                        </w:r>
                      </w:p>
                    </w:txbxContent>
                  </v:textbox>
                </v:shape>
                <v:shape id="_x0000_s1026" o:spid="_x0000_s1026" o:spt="32" type="#_x0000_t32" style="position:absolute;left:6387;top:93041;height:24;width:1566;" filled="f" stroked="t" coordsize="21600,21600" o:gfxdata="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QSx/u8AAAA&#10;2gAAAA8AAAAAAAAAAQAgAAAAIgAAAGRycy9kb3ducmV2LnhtbFBLAQIUABQAAAAIAIdO4kAzLwWe&#10;OwAAADkAAAAQAAAAAAAAAAEAIAAAAAsBAABkcnMvc2hhcGV4bWwueG1sUEsFBgAAAAAGAAYAWwEA&#10;ALUDAAAAAA==&#10;">
                  <v:fill on="f" focussize="0,0"/>
                  <v:stroke weight="1pt" color="#4472C4 [3204]" miterlimit="8" joinstyle="miter" endarrow="open"/>
                  <v:imagedata o:title=""/>
                  <o:lock v:ext="edit" aspectratio="f"/>
                </v:shape>
                <v:shape id="_x0000_s1026" o:spid="_x0000_s1026" o:spt="109" type="#_x0000_t109" style="position:absolute;left:7953;top:92522;height:1121;width:2379;v-text-anchor:middle;" fillcolor="#4472C4 [3204]" filled="t" stroked="t" coordsize="21600,21600" o:gfxdata="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wPoEvQAA&#10;ANoAAAAPAAAAAAAAAAEAIAAAACIAAABkcnMvZG93bnJldi54bWxQSwECFAAUAAAACACHTuJAMy8F&#10;njsAAAA5AAAAEAAAAAAAAAABACAAAAAMAQAAZHJzL3NoYXBleG1sLnhtbFBLBQYAAAAABgAGAFsB&#10;AAC2AwAAAAA=&#10;">
                  <v:fill on="t" focussize="0,0"/>
                  <v:stroke weight="1pt" color="#2F5597 [2404]" miterlimit="8" joinstyle="miter"/>
                  <v:imagedata o:title=""/>
                  <o:lock v:ext="edit" aspectratio="f"/>
                  <v:textbox>
                    <w:txbxContent>
                      <w:p w14:paraId="7D2086FC">
                        <w:pPr>
                          <w:jc w:val="center"/>
                          <w:rPr>
                            <w:rFonts w:ascii="TH SarabunPSK" w:hAnsi="TH SarabunPSK" w:cs="TH SarabunPSK"/>
                            <w:b/>
                            <w:bCs/>
                            <w:sz w:val="28"/>
                            <w:szCs w:val="28"/>
                          </w:rPr>
                        </w:pPr>
                        <w:r>
                          <w:rPr>
                            <w:rFonts w:ascii="TH SarabunPSK" w:hAnsi="TH SarabunPSK" w:cs="TH SarabunPSK"/>
                            <w:b/>
                            <w:bCs/>
                            <w:sz w:val="28"/>
                            <w:szCs w:val="28"/>
                          </w:rPr>
                          <w:t>Purchasing intention</w:t>
                        </w:r>
                      </w:p>
                    </w:txbxContent>
                  </v:textbox>
                </v:shape>
              </v:group>
            </w:pict>
          </mc:Fallback>
        </mc:AlternateContent>
      </w:r>
    </w:p>
    <w:p w14:paraId="68407A69" w14:textId="77777777" w:rsidR="00601AAC" w:rsidRDefault="00601AAC">
      <w:pPr>
        <w:spacing w:after="0" w:line="240" w:lineRule="auto"/>
        <w:jc w:val="both"/>
        <w:rPr>
          <w:rFonts w:ascii="TH SarabunPSK" w:hAnsi="TH SarabunPSK" w:cs="TH SarabunPSK"/>
          <w:sz w:val="32"/>
          <w:szCs w:val="32"/>
        </w:rPr>
      </w:pPr>
    </w:p>
    <w:p w14:paraId="0CA50AC1" w14:textId="77777777" w:rsidR="00601AAC" w:rsidRDefault="00601AAC">
      <w:pPr>
        <w:spacing w:after="0" w:line="240" w:lineRule="auto"/>
        <w:jc w:val="both"/>
        <w:rPr>
          <w:rFonts w:ascii="TH SarabunPSK" w:hAnsi="TH SarabunPSK" w:cs="TH SarabunPSK"/>
          <w:sz w:val="32"/>
          <w:szCs w:val="32"/>
        </w:rPr>
      </w:pPr>
    </w:p>
    <w:p w14:paraId="329A4436" w14:textId="77777777" w:rsidR="00601AAC" w:rsidRDefault="00601AAC">
      <w:pPr>
        <w:spacing w:after="0" w:line="240" w:lineRule="auto"/>
        <w:jc w:val="both"/>
        <w:rPr>
          <w:rFonts w:ascii="TH SarabunPSK" w:hAnsi="TH SarabunPSK" w:cs="TH SarabunPSK"/>
          <w:sz w:val="32"/>
          <w:szCs w:val="32"/>
        </w:rPr>
      </w:pPr>
    </w:p>
    <w:p w14:paraId="6337AB00" w14:textId="77777777" w:rsidR="00601AAC" w:rsidRDefault="0090397B">
      <w:pPr>
        <w:spacing w:after="0" w:line="240" w:lineRule="auto"/>
        <w:jc w:val="center"/>
        <w:rPr>
          <w:rFonts w:ascii="TH SarabunPSK" w:hAnsi="TH SarabunPSK" w:cs="TH SarabunPSK"/>
          <w:sz w:val="28"/>
          <w:szCs w:val="28"/>
        </w:rPr>
      </w:pPr>
      <w:r>
        <w:rPr>
          <w:rFonts w:ascii="TH SarabunPSK" w:hAnsi="TH SarabunPSK" w:cs="TH SarabunPSK"/>
          <w:b/>
          <w:bCs/>
          <w:sz w:val="28"/>
          <w:szCs w:val="28"/>
        </w:rPr>
        <w:t>Figure 1</w:t>
      </w:r>
      <w:r>
        <w:rPr>
          <w:rFonts w:ascii="TH SarabunPSK" w:hAnsi="TH SarabunPSK" w:cs="TH SarabunPSK"/>
          <w:sz w:val="28"/>
          <w:szCs w:val="28"/>
        </w:rPr>
        <w:t xml:space="preserve"> </w:t>
      </w:r>
      <w:r>
        <w:rPr>
          <w:rFonts w:ascii="TH SarabunPSK" w:hAnsi="TH SarabunPSK" w:cs="TH SarabunPSK" w:hint="eastAsia"/>
          <w:sz w:val="28"/>
          <w:szCs w:val="28"/>
          <w:lang w:eastAsia="zh-CN"/>
        </w:rPr>
        <w:t>:</w:t>
      </w:r>
      <w:r>
        <w:rPr>
          <w:rFonts w:ascii="TH SarabunPSK" w:hAnsi="TH SarabunPSK" w:cs="TH SarabunPSK"/>
          <w:sz w:val="28"/>
          <w:szCs w:val="28"/>
        </w:rPr>
        <w:t>Research framework</w:t>
      </w:r>
    </w:p>
    <w:p w14:paraId="69A8019A" w14:textId="77777777" w:rsidR="00601AAC" w:rsidRDefault="0090397B">
      <w:pPr>
        <w:pStyle w:val="af"/>
        <w:spacing w:after="0" w:line="240" w:lineRule="auto"/>
        <w:ind w:left="0"/>
        <w:jc w:val="both"/>
        <w:rPr>
          <w:rFonts w:ascii="TH SarabunPSK" w:eastAsia="Times New Roman" w:hAnsi="TH SarabunPSK" w:cs="TH SarabunPSK"/>
          <w:sz w:val="28"/>
          <w:lang w:eastAsia="zh-CN"/>
        </w:rPr>
      </w:pPr>
      <w:r>
        <w:rPr>
          <w:rFonts w:ascii="TH SarabunPSK" w:eastAsia="Times New Roman" w:hAnsi="TH SarabunPSK" w:cs="TH SarabunPSK" w:hint="eastAsia"/>
          <w:b/>
          <w:bCs/>
          <w:sz w:val="32"/>
          <w:szCs w:val="32"/>
          <w:lang w:eastAsia="zh-CN"/>
        </w:rPr>
        <w:t>H</w:t>
      </w:r>
      <w:r>
        <w:rPr>
          <w:rFonts w:ascii="TH SarabunPSK" w:eastAsia="Times New Roman" w:hAnsi="TH SarabunPSK" w:cs="TH SarabunPSK"/>
          <w:b/>
          <w:bCs/>
          <w:sz w:val="32"/>
          <w:szCs w:val="32"/>
          <w:lang w:eastAsia="zh-CN"/>
        </w:rPr>
        <w:t>ypothesis</w:t>
      </w:r>
      <w:r>
        <w:rPr>
          <w:rFonts w:ascii="TH SarabunPSK" w:eastAsia="Times New Roman" w:hAnsi="TH SarabunPSK" w:cs="TH SarabunPSK"/>
          <w:sz w:val="28"/>
          <w:lang w:eastAsia="zh-CN"/>
        </w:rPr>
        <w:br/>
      </w:r>
      <w:r>
        <w:rPr>
          <w:rFonts w:ascii="TH SarabunPSK" w:eastAsia="Times New Roman" w:hAnsi="TH SarabunPSK" w:cs="TH SarabunPSK" w:hint="eastAsia"/>
          <w:sz w:val="28"/>
          <w:lang w:eastAsia="zh-CN"/>
        </w:rPr>
        <w:t>1."Brand Recognition" have a positive impact on Purchasing intention</w:t>
      </w:r>
    </w:p>
    <w:p w14:paraId="6D5272A5" w14:textId="77777777" w:rsidR="00601AAC" w:rsidRDefault="0090397B">
      <w:pPr>
        <w:pStyle w:val="af"/>
        <w:spacing w:after="0" w:line="240" w:lineRule="auto"/>
        <w:ind w:left="0"/>
        <w:jc w:val="both"/>
        <w:rPr>
          <w:rFonts w:ascii="TH SarabunPSK" w:eastAsia="Times New Roman" w:hAnsi="TH SarabunPSK" w:cs="TH SarabunPSK"/>
          <w:sz w:val="28"/>
          <w:lang w:eastAsia="zh-CN"/>
        </w:rPr>
      </w:pPr>
      <w:r>
        <w:rPr>
          <w:rFonts w:ascii="TH SarabunPSK" w:eastAsia="Times New Roman" w:hAnsi="TH SarabunPSK" w:cs="TH SarabunPSK" w:hint="eastAsia"/>
          <w:sz w:val="28"/>
          <w:lang w:eastAsia="zh-CN"/>
        </w:rPr>
        <w:t>2 ."Brand Recall" have a positive impact on Purchasing intention</w:t>
      </w:r>
    </w:p>
    <w:p w14:paraId="0F050DE5" w14:textId="77777777" w:rsidR="00601AAC" w:rsidRDefault="0090397B">
      <w:pPr>
        <w:pStyle w:val="af"/>
        <w:spacing w:after="0" w:line="240" w:lineRule="auto"/>
        <w:ind w:left="0"/>
        <w:jc w:val="both"/>
        <w:rPr>
          <w:rFonts w:ascii="TH SarabunPSK" w:eastAsia="Times New Roman" w:hAnsi="TH SarabunPSK" w:cs="TH SarabunPSK"/>
          <w:sz w:val="28"/>
          <w:lang w:eastAsia="zh-CN"/>
        </w:rPr>
      </w:pPr>
      <w:r>
        <w:rPr>
          <w:rFonts w:ascii="TH SarabunPSK" w:eastAsia="Times New Roman" w:hAnsi="TH SarabunPSK" w:cs="TH SarabunPSK" w:hint="eastAsia"/>
          <w:sz w:val="28"/>
          <w:lang w:eastAsia="zh-CN"/>
        </w:rPr>
        <w:t xml:space="preserve">3 "Brand Preference" have a positive impact on Purchasing </w:t>
      </w:r>
      <w:r>
        <w:rPr>
          <w:rFonts w:ascii="TH SarabunPSK" w:eastAsia="Times New Roman" w:hAnsi="TH SarabunPSK" w:cs="TH SarabunPSK" w:hint="eastAsia"/>
          <w:sz w:val="28"/>
          <w:lang w:eastAsia="zh-CN"/>
        </w:rPr>
        <w:t>intention</w:t>
      </w:r>
    </w:p>
    <w:p w14:paraId="4FF2B7AC" w14:textId="77777777" w:rsidR="00601AAC" w:rsidRDefault="0090397B">
      <w:pPr>
        <w:pStyle w:val="af"/>
        <w:spacing w:after="0" w:line="240" w:lineRule="auto"/>
        <w:ind w:left="0"/>
        <w:jc w:val="both"/>
        <w:rPr>
          <w:rFonts w:ascii="TH SarabunPSK" w:eastAsia="Times New Roman" w:hAnsi="TH SarabunPSK" w:cs="TH SarabunPSK"/>
          <w:sz w:val="28"/>
          <w:lang w:eastAsia="zh-CN"/>
        </w:rPr>
      </w:pPr>
      <w:r>
        <w:rPr>
          <w:rFonts w:ascii="TH SarabunPSK" w:eastAsia="Times New Roman" w:hAnsi="TH SarabunPSK" w:cs="TH SarabunPSK" w:hint="eastAsia"/>
          <w:sz w:val="28"/>
          <w:lang w:eastAsia="zh-CN"/>
        </w:rPr>
        <w:t>4. "Brand Insistence" have a positive impact on Purchasing intention</w:t>
      </w:r>
    </w:p>
    <w:p w14:paraId="2D7D2524" w14:textId="77777777" w:rsidR="00601AAC" w:rsidRDefault="0090397B">
      <w:pPr>
        <w:pStyle w:val="af"/>
        <w:spacing w:after="0" w:line="240" w:lineRule="auto"/>
        <w:ind w:left="0"/>
        <w:jc w:val="both"/>
        <w:rPr>
          <w:rFonts w:ascii="TH SarabunPSK" w:eastAsia="Times New Roman" w:hAnsi="TH SarabunPSK" w:cs="TH SarabunPSK"/>
          <w:sz w:val="28"/>
          <w:lang w:eastAsia="zh-CN"/>
        </w:rPr>
      </w:pPr>
      <w:r>
        <w:rPr>
          <w:rFonts w:ascii="TH SarabunPSK" w:eastAsia="Times New Roman" w:hAnsi="TH SarabunPSK" w:cs="TH SarabunPSK" w:hint="eastAsia"/>
          <w:sz w:val="28"/>
          <w:lang w:eastAsia="zh-CN"/>
        </w:rPr>
        <w:t>5."Emotional Attachment" have a positive impact on Purchasing intention</w:t>
      </w:r>
    </w:p>
    <w:p w14:paraId="35069FE2" w14:textId="77777777" w:rsidR="00601AAC" w:rsidRDefault="00601AAC">
      <w:pPr>
        <w:pStyle w:val="af"/>
        <w:spacing w:after="0" w:line="240" w:lineRule="auto"/>
        <w:ind w:left="0"/>
        <w:jc w:val="both"/>
        <w:rPr>
          <w:rFonts w:ascii="TH SarabunPSK" w:hAnsi="TH SarabunPSK" w:cs="TH SarabunPSK"/>
          <w:b/>
          <w:sz w:val="32"/>
          <w:szCs w:val="32"/>
          <w:lang w:eastAsia="zh-CN"/>
        </w:rPr>
      </w:pPr>
    </w:p>
    <w:p w14:paraId="5A3077B8" w14:textId="77777777" w:rsidR="00601AAC" w:rsidRDefault="0090397B">
      <w:pPr>
        <w:pStyle w:val="af"/>
        <w:spacing w:after="0" w:line="240" w:lineRule="auto"/>
        <w:ind w:left="0"/>
        <w:jc w:val="both"/>
        <w:rPr>
          <w:rFonts w:ascii="TH SarabunPSK" w:hAnsi="TH SarabunPSK" w:cs="TH SarabunPSK"/>
          <w:b/>
          <w:sz w:val="32"/>
          <w:szCs w:val="32"/>
        </w:rPr>
      </w:pPr>
      <w:proofErr w:type="spellStart"/>
      <w:r>
        <w:rPr>
          <w:rFonts w:ascii="TH SarabunPSK" w:hAnsi="TH SarabunPSK" w:cs="TH SarabunPSK" w:hint="eastAsia"/>
          <w:b/>
          <w:sz w:val="32"/>
          <w:szCs w:val="32"/>
          <w:lang w:eastAsia="zh-CN"/>
        </w:rPr>
        <w:t>E</w:t>
      </w:r>
      <w:r>
        <w:rPr>
          <w:rFonts w:ascii="TH SarabunPSK" w:hAnsi="TH SarabunPSK" w:cs="TH SarabunPSK"/>
          <w:b/>
          <w:sz w:val="32"/>
          <w:szCs w:val="32"/>
          <w:lang w:eastAsia="zh-CN"/>
        </w:rPr>
        <w:t>search</w:t>
      </w:r>
      <w:proofErr w:type="spellEnd"/>
      <w:r>
        <w:rPr>
          <w:rFonts w:ascii="TH SarabunPSK" w:hAnsi="TH SarabunPSK" w:cs="TH SarabunPSK"/>
          <w:b/>
          <w:sz w:val="32"/>
          <w:szCs w:val="32"/>
          <w:lang w:eastAsia="zh-CN"/>
        </w:rPr>
        <w:t xml:space="preserve"> m</w:t>
      </w:r>
      <w:r>
        <w:rPr>
          <w:rFonts w:ascii="TH SarabunPSK" w:hAnsi="TH SarabunPSK" w:cs="TH SarabunPSK"/>
          <w:b/>
          <w:sz w:val="32"/>
          <w:szCs w:val="32"/>
        </w:rPr>
        <w:t>ethod</w:t>
      </w:r>
      <w:r>
        <w:rPr>
          <w:rFonts w:ascii="TH SarabunPSK" w:hAnsi="TH SarabunPSK" w:cs="TH SarabunPSK"/>
          <w:b/>
          <w:sz w:val="32"/>
          <w:szCs w:val="32"/>
          <w:lang w:eastAsia="zh-CN"/>
        </w:rPr>
        <w:t>ology</w:t>
      </w:r>
    </w:p>
    <w:p w14:paraId="106DA6C9" w14:textId="77777777" w:rsidR="00601AAC" w:rsidRDefault="0090397B">
      <w:pPr>
        <w:pStyle w:val="af"/>
        <w:spacing w:after="0" w:line="240" w:lineRule="auto"/>
        <w:ind w:leftChars="-100" w:left="-220" w:firstLineChars="200" w:firstLine="560"/>
        <w:jc w:val="both"/>
        <w:rPr>
          <w:rFonts w:ascii="TH SarabunPSK" w:eastAsia="Times New Roman" w:hAnsi="TH SarabunPSK" w:cs="TH SarabunPSK"/>
          <w:sz w:val="28"/>
        </w:rPr>
      </w:pPr>
      <w:r>
        <w:rPr>
          <w:rFonts w:ascii="TH SarabunPSK" w:eastAsia="Times New Roman" w:hAnsi="TH SarabunPSK" w:cs="TH SarabunPSK" w:hint="eastAsia"/>
          <w:sz w:val="28"/>
        </w:rPr>
        <w:t>Primary data were collected through an online questionnaire distributed via WeChat u</w:t>
      </w:r>
      <w:r>
        <w:rPr>
          <w:rFonts w:ascii="TH SarabunPSK" w:eastAsia="Times New Roman" w:hAnsi="TH SarabunPSK" w:cs="TH SarabunPSK" w:hint="eastAsia"/>
          <w:sz w:val="28"/>
        </w:rPr>
        <w:t>sing convenience sampling, and only respondents with online shopping experience were included to ensure data relevance. Measurement items for brand loyalty were adapted from established scales proposed by Aaker (1991), Oliver (1999), and Chaudhuri and Holb</w:t>
      </w:r>
      <w:r>
        <w:rPr>
          <w:rFonts w:ascii="TH SarabunPSK" w:eastAsia="Times New Roman" w:hAnsi="TH SarabunPSK" w:cs="TH SarabunPSK" w:hint="eastAsia"/>
          <w:sz w:val="28"/>
        </w:rPr>
        <w:t xml:space="preserve">rook (2001), covering brand recognition, brand recall, brand preference, brand insistence, and emotional attachment. Purchase intention items were developed based on prior consumer behavior studies (Fishbein &amp; Ajzen, 1975; Kim &amp; Kim, 2005) and modified to </w:t>
      </w:r>
      <w:r>
        <w:rPr>
          <w:rFonts w:ascii="TH SarabunPSK" w:eastAsia="Times New Roman" w:hAnsi="TH SarabunPSK" w:cs="TH SarabunPSK" w:hint="eastAsia"/>
          <w:sz w:val="28"/>
        </w:rPr>
        <w:t xml:space="preserve">fit the Chinese e-commerce </w:t>
      </w:r>
      <w:r>
        <w:rPr>
          <w:rFonts w:ascii="TH SarabunPSK" w:eastAsia="Times New Roman" w:hAnsi="TH SarabunPSK" w:cs="TH SarabunPSK" w:hint="eastAsia"/>
          <w:spacing w:val="-6"/>
          <w:sz w:val="28"/>
        </w:rPr>
        <w:t xml:space="preserve">context. </w:t>
      </w:r>
      <w:r>
        <w:rPr>
          <w:rFonts w:ascii="TH SarabunPSK" w:eastAsia="Times New Roman" w:hAnsi="TH SarabunPSK" w:cs="TH SarabunPSK" w:hint="eastAsia"/>
          <w:spacing w:val="-11"/>
          <w:sz w:val="28"/>
        </w:rPr>
        <w:t>The questionnaire c</w:t>
      </w:r>
      <w:r>
        <w:rPr>
          <w:rFonts w:ascii="TH SarabunPSK" w:eastAsia="Times New Roman" w:hAnsi="TH SarabunPSK" w:cs="TH SarabunPSK" w:hint="eastAsia"/>
          <w:spacing w:val="-6"/>
          <w:sz w:val="28"/>
        </w:rPr>
        <w:t xml:space="preserve">omprised screening questions, </w:t>
      </w:r>
      <w:r>
        <w:rPr>
          <w:rFonts w:ascii="TH SarabunPSK" w:eastAsia="Times New Roman" w:hAnsi="TH SarabunPSK" w:cs="TH SarabunPSK" w:hint="eastAsia"/>
          <w:sz w:val="28"/>
        </w:rPr>
        <w:t>demographic information, brand loyalty dimensions, and purchase intention, all measured using a five-point Likert scale.</w:t>
      </w:r>
    </w:p>
    <w:p w14:paraId="59A437CC" w14:textId="77777777" w:rsidR="00601AAC" w:rsidRDefault="0090397B">
      <w:pPr>
        <w:pStyle w:val="af"/>
        <w:spacing w:after="0" w:line="240" w:lineRule="auto"/>
        <w:ind w:leftChars="-100" w:left="-220" w:firstLineChars="200" w:firstLine="560"/>
        <w:jc w:val="both"/>
        <w:rPr>
          <w:rFonts w:ascii="TH SarabunPSK" w:eastAsia="Times New Roman" w:hAnsi="TH SarabunPSK" w:cs="TH SarabunPSK"/>
          <w:sz w:val="28"/>
        </w:rPr>
      </w:pPr>
      <w:r>
        <w:rPr>
          <w:rFonts w:ascii="TH SarabunPSK" w:eastAsia="Times New Roman" w:hAnsi="TH SarabunPSK" w:cs="TH SarabunPSK" w:hint="eastAsia"/>
          <w:sz w:val="28"/>
        </w:rPr>
        <w:t>Descriptive and inferential statistical methods we</w:t>
      </w:r>
      <w:r>
        <w:rPr>
          <w:rFonts w:ascii="TH SarabunPSK" w:eastAsia="Times New Roman" w:hAnsi="TH SarabunPSK" w:cs="TH SarabunPSK" w:hint="eastAsia"/>
          <w:sz w:val="28"/>
        </w:rPr>
        <w:t>re applied using SPSS. Descriptive statistics summarized respondents’ demographic characteristics and online shopping behaviors, while means and standard deviations assessed key variables. Multiple Regression Analysis (MRA) was employed to examine the effe</w:t>
      </w:r>
      <w:r>
        <w:rPr>
          <w:rFonts w:ascii="TH SarabunPSK" w:eastAsia="Times New Roman" w:hAnsi="TH SarabunPSK" w:cs="TH SarabunPSK" w:hint="eastAsia"/>
          <w:sz w:val="28"/>
        </w:rPr>
        <w:t xml:space="preserve">cts of brand loyalty dimensions on purchase intention, providing empirical evidence for relationships among </w:t>
      </w:r>
      <w:r>
        <w:rPr>
          <w:rFonts w:ascii="TH SarabunPSK" w:eastAsia="Times New Roman" w:hAnsi="TH SarabunPSK" w:cs="TH SarabunPSK"/>
          <w:sz w:val="28"/>
        </w:rPr>
        <w:t>the study variables.</w:t>
      </w:r>
    </w:p>
    <w:p w14:paraId="0BFD7197" w14:textId="77777777" w:rsidR="00601AAC" w:rsidRDefault="00601AAC">
      <w:pPr>
        <w:pStyle w:val="af"/>
        <w:spacing w:after="0" w:line="240" w:lineRule="auto"/>
        <w:ind w:leftChars="-100" w:left="-220"/>
        <w:jc w:val="both"/>
        <w:rPr>
          <w:rFonts w:ascii="TH SarabunPSK" w:hAnsi="TH SarabunPSK" w:cs="TH SarabunPSK"/>
          <w:b/>
          <w:sz w:val="32"/>
          <w:szCs w:val="32"/>
        </w:rPr>
      </w:pPr>
    </w:p>
    <w:p w14:paraId="14FB7796" w14:textId="77777777" w:rsidR="00601AAC" w:rsidRDefault="0090397B">
      <w:pPr>
        <w:pStyle w:val="af"/>
        <w:spacing w:after="0" w:line="240" w:lineRule="auto"/>
        <w:ind w:leftChars="-100" w:left="-220"/>
        <w:jc w:val="both"/>
        <w:rPr>
          <w:rFonts w:ascii="TH SarabunPSK" w:hAnsi="TH SarabunPSK" w:cs="TH SarabunPSK"/>
          <w:b/>
          <w:sz w:val="32"/>
          <w:szCs w:val="32"/>
        </w:rPr>
      </w:pPr>
      <w:r>
        <w:rPr>
          <w:rFonts w:ascii="TH SarabunPSK" w:hAnsi="TH SarabunPSK" w:cs="TH SarabunPSK"/>
          <w:b/>
          <w:sz w:val="32"/>
          <w:szCs w:val="32"/>
        </w:rPr>
        <w:t>Result and</w:t>
      </w:r>
      <w:r>
        <w:rPr>
          <w:rFonts w:ascii="TH SarabunPSK" w:hAnsi="TH SarabunPSK" w:cs="TH SarabunPSK"/>
          <w:b/>
          <w:sz w:val="32"/>
          <w:szCs w:val="32"/>
          <w:lang w:eastAsia="zh-CN"/>
        </w:rPr>
        <w:t xml:space="preserve"> </w:t>
      </w:r>
      <w:r>
        <w:rPr>
          <w:rFonts w:ascii="TH SarabunPSK" w:hAnsi="TH SarabunPSK" w:cs="TH SarabunPSK"/>
          <w:b/>
          <w:sz w:val="32"/>
          <w:szCs w:val="32"/>
        </w:rPr>
        <w:t xml:space="preserve">Conclusions </w:t>
      </w:r>
    </w:p>
    <w:p w14:paraId="0E278525" w14:textId="77777777" w:rsidR="00601AAC" w:rsidRDefault="0090397B">
      <w:pPr>
        <w:spacing w:after="0" w:line="240" w:lineRule="auto"/>
        <w:ind w:leftChars="-100" w:left="-220" w:firstLineChars="200" w:firstLine="560"/>
        <w:jc w:val="both"/>
        <w:rPr>
          <w:rFonts w:ascii="TH SarabunPSK" w:eastAsia="SimSun" w:hAnsi="TH SarabunPSK" w:cs="TH SarabunPSK"/>
          <w:sz w:val="28"/>
          <w:szCs w:val="28"/>
          <w:lang w:eastAsia="zh-CN"/>
        </w:rPr>
      </w:pPr>
      <w:r>
        <w:rPr>
          <w:rFonts w:ascii="TH SarabunPSK" w:eastAsia="Times New Roman" w:hAnsi="TH SarabunPSK" w:cs="TH SarabunPSK" w:hint="eastAsia"/>
          <w:sz w:val="28"/>
          <w:szCs w:val="28"/>
        </w:rPr>
        <w:t>The sample consists of 400 respondents with a balanced gender distribution. Most participants are aged 19–25 (64.25%) and are students (63.2%), with the majority holding a bachelor’s degree or above. Monthly income mainly falls between 1,000 and 4,000 RMB,</w:t>
      </w:r>
      <w:r>
        <w:rPr>
          <w:rFonts w:ascii="TH SarabunPSK" w:eastAsia="Times New Roman" w:hAnsi="TH SarabunPSK" w:cs="TH SarabunPSK" w:hint="eastAsia"/>
          <w:sz w:val="28"/>
          <w:szCs w:val="28"/>
        </w:rPr>
        <w:t xml:space="preserve"> while food and cosmetics are the most frequently purchased online products. Over 60% of respondents shop online more than five times per month, indicating high engagement with e-commerce platforms. In addition, nearly half of the participants spend less t</w:t>
      </w:r>
      <w:r>
        <w:rPr>
          <w:rFonts w:ascii="TH SarabunPSK" w:eastAsia="Times New Roman" w:hAnsi="TH SarabunPSK" w:cs="TH SarabunPSK" w:hint="eastAsia"/>
          <w:sz w:val="28"/>
          <w:szCs w:val="28"/>
        </w:rPr>
        <w:t>han 200 yuan per month on online shopping, suggesting generally moderate consumption levels</w:t>
      </w:r>
      <w:r>
        <w:rPr>
          <w:rFonts w:ascii="TH SarabunPSK" w:eastAsia="SimSun" w:hAnsi="TH SarabunPSK" w:cs="TH SarabunPSK" w:hint="eastAsia"/>
          <w:sz w:val="28"/>
          <w:szCs w:val="28"/>
          <w:lang w:eastAsia="zh-CN"/>
        </w:rPr>
        <w:t>.</w:t>
      </w:r>
    </w:p>
    <w:p w14:paraId="1D2B9324" w14:textId="77777777" w:rsidR="00601AAC" w:rsidRDefault="0090397B">
      <w:pPr>
        <w:spacing w:line="240" w:lineRule="auto"/>
        <w:ind w:leftChars="-100" w:left="-220" w:firstLineChars="200" w:firstLine="640"/>
        <w:rPr>
          <w:rFonts w:ascii="TH SarabunPSK" w:hAnsi="TH SarabunPSK" w:cs="TH SarabunPSK"/>
          <w:sz w:val="32"/>
          <w:szCs w:val="32"/>
          <w:lang w:eastAsia="zh-CN"/>
        </w:rPr>
      </w:pPr>
      <w:r>
        <w:rPr>
          <w:rFonts w:ascii="TH SarabunPSK" w:hAnsi="TH SarabunPSK" w:cs="TH SarabunPSK"/>
          <w:b/>
          <w:bCs/>
          <w:sz w:val="32"/>
          <w:szCs w:val="32"/>
          <w:lang w:eastAsia="zh-CN"/>
        </w:rPr>
        <w:t xml:space="preserve">Table 1 </w:t>
      </w:r>
      <w:r>
        <w:rPr>
          <w:rFonts w:ascii="TH SarabunPSK" w:hAnsi="TH SarabunPSK" w:cs="TH SarabunPSK"/>
          <w:sz w:val="32"/>
          <w:szCs w:val="32"/>
          <w:lang w:eastAsia="zh-CN"/>
        </w:rPr>
        <w:t>Results of Linear Regression Analysis of Brand on Purchase intention</w:t>
      </w:r>
    </w:p>
    <w:tbl>
      <w:tblPr>
        <w:tblW w:w="5554" w:type="pct"/>
        <w:tblInd w:w="-677" w:type="dxa"/>
        <w:tblBorders>
          <w:top w:val="double" w:sz="4" w:space="0" w:color="000000"/>
          <w:bottom w:val="double" w:sz="4" w:space="0" w:color="000000"/>
          <w:insideH w:val="single" w:sz="4" w:space="0" w:color="000000"/>
          <w:insideV w:val="single" w:sz="4" w:space="0" w:color="000000"/>
        </w:tblBorders>
        <w:shd w:val="clear" w:color="auto" w:fill="FFFFFF"/>
        <w:tblLayout w:type="fixed"/>
        <w:tblCellMar>
          <w:left w:w="0" w:type="dxa"/>
          <w:right w:w="0" w:type="dxa"/>
        </w:tblCellMar>
        <w:tblLook w:val="04A0" w:firstRow="1" w:lastRow="0" w:firstColumn="1" w:lastColumn="0" w:noHBand="0" w:noVBand="1"/>
      </w:tblPr>
      <w:tblGrid>
        <w:gridCol w:w="2382"/>
        <w:gridCol w:w="960"/>
        <w:gridCol w:w="1218"/>
        <w:gridCol w:w="1745"/>
        <w:gridCol w:w="614"/>
        <w:gridCol w:w="523"/>
        <w:gridCol w:w="694"/>
        <w:gridCol w:w="1366"/>
      </w:tblGrid>
      <w:tr w:rsidR="00601AAC" w14:paraId="20F91BE9" w14:textId="77777777">
        <w:trPr>
          <w:trHeight w:val="231"/>
          <w:tblHeader/>
        </w:trPr>
        <w:tc>
          <w:tcPr>
            <w:tcW w:w="1253" w:type="pct"/>
            <w:vMerge w:val="restart"/>
            <w:tcBorders>
              <w:tl2br w:val="nil"/>
              <w:tr2bl w:val="nil"/>
            </w:tcBorders>
            <w:shd w:val="clear" w:color="auto" w:fill="FFFFFF"/>
            <w:vAlign w:val="center"/>
          </w:tcPr>
          <w:p w14:paraId="2BB8967C" w14:textId="77777777" w:rsidR="00601AAC" w:rsidRDefault="0090397B">
            <w:pPr>
              <w:spacing w:after="0" w:line="240" w:lineRule="auto"/>
              <w:jc w:val="center"/>
              <w:rPr>
                <w:rFonts w:ascii="TH SarabunPSK" w:eastAsia="SimSun" w:hAnsi="TH SarabunPSK" w:cs="TH SarabunPSK"/>
                <w:color w:val="000000"/>
                <w:sz w:val="28"/>
                <w:szCs w:val="28"/>
                <w:lang w:eastAsia="zh-CN"/>
              </w:rPr>
            </w:pPr>
            <w:r>
              <w:rPr>
                <w:rFonts w:ascii="TH SarabunPSK" w:eastAsia="SimSun" w:hAnsi="TH SarabunPSK" w:cs="TH SarabunPSK"/>
                <w:b/>
                <w:bCs/>
                <w:color w:val="000000"/>
                <w:sz w:val="28"/>
                <w:szCs w:val="28"/>
                <w:lang w:eastAsia="zh-CN"/>
              </w:rPr>
              <w:t>Model</w:t>
            </w:r>
          </w:p>
        </w:tc>
        <w:tc>
          <w:tcPr>
            <w:tcW w:w="3746" w:type="pct"/>
            <w:gridSpan w:val="7"/>
            <w:tcBorders>
              <w:tl2br w:val="nil"/>
              <w:tr2bl w:val="nil"/>
            </w:tcBorders>
            <w:shd w:val="clear" w:color="auto" w:fill="FFFFFF"/>
            <w:vAlign w:val="center"/>
          </w:tcPr>
          <w:p w14:paraId="6371D4AF" w14:textId="77777777" w:rsidR="00601AAC" w:rsidRDefault="0090397B">
            <w:pPr>
              <w:spacing w:after="0" w:line="240" w:lineRule="auto"/>
              <w:jc w:val="center"/>
              <w:rPr>
                <w:rFonts w:ascii="TH SarabunPSK" w:eastAsia="SimSun" w:hAnsi="TH SarabunPSK" w:cs="TH SarabunPSK"/>
                <w:color w:val="000000" w:themeColor="text1"/>
                <w:sz w:val="28"/>
                <w:szCs w:val="28"/>
                <w:lang w:eastAsia="zh-CN" w:bidi="ar"/>
              </w:rPr>
            </w:pPr>
            <w:r>
              <w:rPr>
                <w:rFonts w:ascii="TH SarabunPSK" w:eastAsia="SimSun" w:hAnsi="TH SarabunPSK" w:cs="TH SarabunPSK"/>
                <w:b/>
                <w:bCs/>
                <w:color w:val="000000" w:themeColor="text1"/>
                <w:sz w:val="28"/>
                <w:szCs w:val="28"/>
                <w:lang w:eastAsia="zh-CN" w:bidi="ar"/>
              </w:rPr>
              <w:t>Purchasing intention</w:t>
            </w:r>
          </w:p>
        </w:tc>
      </w:tr>
      <w:tr w:rsidR="00601AAC" w14:paraId="3319E664" w14:textId="77777777">
        <w:trPr>
          <w:trHeight w:val="1045"/>
          <w:tblHeader/>
        </w:trPr>
        <w:tc>
          <w:tcPr>
            <w:tcW w:w="1253" w:type="pct"/>
            <w:vMerge/>
            <w:tcBorders>
              <w:tl2br w:val="nil"/>
              <w:tr2bl w:val="nil"/>
            </w:tcBorders>
            <w:shd w:val="clear" w:color="auto" w:fill="FFFFFF"/>
            <w:vAlign w:val="center"/>
          </w:tcPr>
          <w:p w14:paraId="0FB0876C" w14:textId="77777777" w:rsidR="00601AAC" w:rsidRDefault="00601AAC">
            <w:pPr>
              <w:spacing w:after="0" w:line="240" w:lineRule="auto"/>
              <w:jc w:val="center"/>
              <w:rPr>
                <w:rFonts w:ascii="TH SarabunPSK" w:eastAsia="SimSun" w:hAnsi="TH SarabunPSK" w:cs="TH SarabunPSK"/>
                <w:color w:val="000000"/>
                <w:sz w:val="28"/>
                <w:szCs w:val="28"/>
              </w:rPr>
            </w:pPr>
          </w:p>
        </w:tc>
        <w:tc>
          <w:tcPr>
            <w:tcW w:w="1146" w:type="pct"/>
            <w:gridSpan w:val="2"/>
            <w:tcBorders>
              <w:tl2br w:val="nil"/>
              <w:tr2bl w:val="nil"/>
            </w:tcBorders>
            <w:shd w:val="clear" w:color="auto" w:fill="FFFFFF"/>
            <w:vAlign w:val="center"/>
          </w:tcPr>
          <w:p w14:paraId="0248028B" w14:textId="77777777" w:rsidR="00601AAC" w:rsidRDefault="0090397B">
            <w:pPr>
              <w:spacing w:after="0" w:line="240" w:lineRule="auto"/>
              <w:jc w:val="center"/>
              <w:rPr>
                <w:rFonts w:ascii="TH SarabunPSK" w:eastAsia="SimSun" w:hAnsi="TH SarabunPSK" w:cs="TH SarabunPSK"/>
                <w:b/>
                <w:bCs/>
                <w:color w:val="000000"/>
                <w:sz w:val="28"/>
                <w:szCs w:val="28"/>
              </w:rPr>
            </w:pPr>
            <w:r>
              <w:rPr>
                <w:rFonts w:ascii="TH SarabunPSK" w:eastAsia="SimSun" w:hAnsi="TH SarabunPSK" w:cs="TH SarabunPSK"/>
                <w:b/>
                <w:bCs/>
                <w:color w:val="000000"/>
                <w:sz w:val="28"/>
                <w:szCs w:val="28"/>
              </w:rPr>
              <w:t>Unstandardized</w:t>
            </w:r>
          </w:p>
          <w:p w14:paraId="1F964CD7" w14:textId="77777777" w:rsidR="00601AAC" w:rsidRDefault="0090397B">
            <w:pPr>
              <w:spacing w:after="0" w:line="240" w:lineRule="auto"/>
              <w:jc w:val="center"/>
              <w:rPr>
                <w:rFonts w:ascii="TH SarabunPSK" w:eastAsia="SimSun" w:hAnsi="TH SarabunPSK" w:cs="TH SarabunPSK"/>
                <w:b/>
                <w:bCs/>
                <w:color w:val="000000"/>
                <w:sz w:val="28"/>
                <w:szCs w:val="28"/>
              </w:rPr>
            </w:pPr>
            <w:r>
              <w:rPr>
                <w:rFonts w:ascii="TH SarabunPSK" w:eastAsia="SimSun" w:hAnsi="TH SarabunPSK" w:cs="TH SarabunPSK"/>
                <w:b/>
                <w:bCs/>
                <w:color w:val="000000"/>
                <w:sz w:val="28"/>
                <w:szCs w:val="28"/>
              </w:rPr>
              <w:t>Coefficients</w:t>
            </w:r>
          </w:p>
        </w:tc>
        <w:tc>
          <w:tcPr>
            <w:tcW w:w="918" w:type="pct"/>
            <w:tcBorders>
              <w:tl2br w:val="nil"/>
              <w:tr2bl w:val="nil"/>
            </w:tcBorders>
            <w:shd w:val="clear" w:color="auto" w:fill="FFFFFF"/>
            <w:vAlign w:val="center"/>
          </w:tcPr>
          <w:p w14:paraId="640E8C61" w14:textId="77777777" w:rsidR="00601AAC" w:rsidRDefault="0090397B">
            <w:pPr>
              <w:spacing w:after="0" w:line="240" w:lineRule="auto"/>
              <w:jc w:val="center"/>
              <w:rPr>
                <w:rFonts w:ascii="TH SarabunPSK" w:eastAsia="SimSun" w:hAnsi="TH SarabunPSK" w:cs="TH SarabunPSK"/>
                <w:b/>
                <w:bCs/>
                <w:color w:val="000000" w:themeColor="text1"/>
                <w:sz w:val="28"/>
                <w:szCs w:val="28"/>
                <w:lang w:eastAsia="zh-CN" w:bidi="ar"/>
              </w:rPr>
            </w:pPr>
            <w:r>
              <w:rPr>
                <w:rFonts w:ascii="TH SarabunPSK" w:eastAsia="SimSun" w:hAnsi="TH SarabunPSK" w:cs="TH SarabunPSK"/>
                <w:b/>
                <w:bCs/>
                <w:color w:val="000000" w:themeColor="text1"/>
                <w:sz w:val="28"/>
                <w:szCs w:val="28"/>
                <w:lang w:eastAsia="zh-CN" w:bidi="ar"/>
              </w:rPr>
              <w:t>Standardized</w:t>
            </w:r>
          </w:p>
          <w:p w14:paraId="1D2C3F88" w14:textId="77777777" w:rsidR="00601AAC" w:rsidRDefault="0090397B">
            <w:pPr>
              <w:spacing w:after="0" w:line="240" w:lineRule="auto"/>
              <w:jc w:val="center"/>
              <w:rPr>
                <w:rFonts w:ascii="TH SarabunPSK" w:eastAsia="SimSun" w:hAnsi="TH SarabunPSK" w:cs="TH SarabunPSK"/>
                <w:b/>
                <w:bCs/>
                <w:color w:val="000000"/>
                <w:sz w:val="28"/>
                <w:szCs w:val="28"/>
              </w:rPr>
            </w:pPr>
            <w:r>
              <w:rPr>
                <w:rFonts w:ascii="TH SarabunPSK" w:eastAsia="SimSun" w:hAnsi="TH SarabunPSK" w:cs="TH SarabunPSK"/>
                <w:b/>
                <w:bCs/>
                <w:color w:val="000000" w:themeColor="text1"/>
                <w:sz w:val="28"/>
                <w:szCs w:val="28"/>
                <w:lang w:eastAsia="zh-CN" w:bidi="ar"/>
              </w:rPr>
              <w:t>Coefficients</w:t>
            </w:r>
          </w:p>
        </w:tc>
        <w:tc>
          <w:tcPr>
            <w:tcW w:w="323" w:type="pct"/>
            <w:vMerge w:val="restart"/>
            <w:tcBorders>
              <w:tl2br w:val="nil"/>
              <w:tr2bl w:val="nil"/>
            </w:tcBorders>
            <w:shd w:val="clear" w:color="auto" w:fill="FFFFFF"/>
            <w:vAlign w:val="center"/>
          </w:tcPr>
          <w:p w14:paraId="458DF329" w14:textId="77777777" w:rsidR="00601AAC" w:rsidRDefault="0090397B">
            <w:pPr>
              <w:spacing w:after="0" w:line="240" w:lineRule="auto"/>
              <w:jc w:val="center"/>
              <w:rPr>
                <w:rFonts w:ascii="TH SarabunPSK" w:eastAsia="SimSun" w:hAnsi="TH SarabunPSK" w:cs="TH SarabunPSK"/>
                <w:b/>
                <w:bCs/>
                <w:color w:val="000000"/>
                <w:sz w:val="28"/>
                <w:szCs w:val="28"/>
              </w:rPr>
            </w:pPr>
            <w:r>
              <w:rPr>
                <w:rFonts w:ascii="TH SarabunPSK" w:eastAsia="SimSun" w:hAnsi="TH SarabunPSK" w:cs="TH SarabunPSK"/>
                <w:b/>
                <w:bCs/>
                <w:color w:val="000000" w:themeColor="text1"/>
                <w:sz w:val="28"/>
                <w:szCs w:val="28"/>
                <w:lang w:eastAsia="zh-CN" w:bidi="ar"/>
              </w:rPr>
              <w:t>t</w:t>
            </w:r>
          </w:p>
        </w:tc>
        <w:tc>
          <w:tcPr>
            <w:tcW w:w="275" w:type="pct"/>
            <w:vMerge w:val="restart"/>
            <w:tcBorders>
              <w:tl2br w:val="nil"/>
              <w:tr2bl w:val="nil"/>
            </w:tcBorders>
            <w:shd w:val="clear" w:color="auto" w:fill="FFFFFF"/>
            <w:vAlign w:val="center"/>
          </w:tcPr>
          <w:p w14:paraId="71B652EB" w14:textId="77777777" w:rsidR="00601AAC" w:rsidRDefault="0090397B">
            <w:pPr>
              <w:spacing w:after="0" w:line="240" w:lineRule="auto"/>
              <w:jc w:val="center"/>
              <w:rPr>
                <w:rFonts w:ascii="TH SarabunPSK" w:eastAsia="SimSun" w:hAnsi="TH SarabunPSK" w:cs="TH SarabunPSK"/>
                <w:b/>
                <w:bCs/>
                <w:color w:val="000000"/>
                <w:sz w:val="28"/>
                <w:szCs w:val="28"/>
                <w:lang w:eastAsia="zh-CN"/>
              </w:rPr>
            </w:pPr>
            <w:r>
              <w:rPr>
                <w:rFonts w:ascii="TH SarabunPSK" w:eastAsia="SimSun" w:hAnsi="TH SarabunPSK" w:cs="TH SarabunPSK"/>
                <w:b/>
                <w:bCs/>
                <w:color w:val="000000"/>
                <w:sz w:val="28"/>
                <w:szCs w:val="28"/>
                <w:lang w:eastAsia="zh-CN"/>
              </w:rPr>
              <w:t>Sig.</w:t>
            </w:r>
          </w:p>
        </w:tc>
        <w:tc>
          <w:tcPr>
            <w:tcW w:w="1082" w:type="pct"/>
            <w:gridSpan w:val="2"/>
            <w:tcBorders>
              <w:tl2br w:val="nil"/>
              <w:tr2bl w:val="nil"/>
            </w:tcBorders>
            <w:shd w:val="clear" w:color="auto" w:fill="FFFFFF"/>
            <w:vAlign w:val="center"/>
          </w:tcPr>
          <w:p w14:paraId="7A97F834" w14:textId="77777777" w:rsidR="00601AAC" w:rsidRDefault="0090397B">
            <w:pPr>
              <w:spacing w:after="0" w:line="240" w:lineRule="auto"/>
              <w:jc w:val="center"/>
              <w:rPr>
                <w:rFonts w:ascii="TH SarabunPSK" w:eastAsia="SimSun" w:hAnsi="TH SarabunPSK" w:cs="TH SarabunPSK"/>
                <w:b/>
                <w:bCs/>
                <w:color w:val="000000"/>
                <w:sz w:val="28"/>
                <w:szCs w:val="28"/>
              </w:rPr>
            </w:pPr>
            <w:r>
              <w:rPr>
                <w:rFonts w:ascii="TH SarabunPSK" w:eastAsia="SimSun" w:hAnsi="TH SarabunPSK" w:cs="TH SarabunPSK"/>
                <w:b/>
                <w:bCs/>
                <w:color w:val="000000" w:themeColor="text1"/>
                <w:sz w:val="28"/>
                <w:szCs w:val="28"/>
                <w:lang w:eastAsia="zh-CN" w:bidi="ar"/>
              </w:rPr>
              <w:t>Collinearity Diagnostics</w:t>
            </w:r>
          </w:p>
        </w:tc>
      </w:tr>
      <w:tr w:rsidR="00601AAC" w14:paraId="772AC504" w14:textId="77777777">
        <w:trPr>
          <w:trHeight w:val="467"/>
          <w:tblHeader/>
        </w:trPr>
        <w:tc>
          <w:tcPr>
            <w:tcW w:w="1253" w:type="pct"/>
            <w:vMerge/>
            <w:tcBorders>
              <w:tl2br w:val="nil"/>
              <w:tr2bl w:val="nil"/>
            </w:tcBorders>
            <w:shd w:val="clear" w:color="auto" w:fill="FFFFFF"/>
            <w:vAlign w:val="center"/>
          </w:tcPr>
          <w:p w14:paraId="03A85BC7" w14:textId="77777777" w:rsidR="00601AAC" w:rsidRDefault="00601AAC">
            <w:pPr>
              <w:spacing w:after="0" w:line="240" w:lineRule="auto"/>
              <w:jc w:val="center"/>
              <w:rPr>
                <w:rFonts w:ascii="TH SarabunPSK" w:eastAsia="SimSun" w:hAnsi="TH SarabunPSK" w:cs="TH SarabunPSK"/>
                <w:color w:val="000000"/>
                <w:sz w:val="28"/>
                <w:szCs w:val="28"/>
              </w:rPr>
            </w:pPr>
          </w:p>
        </w:tc>
        <w:tc>
          <w:tcPr>
            <w:tcW w:w="505" w:type="pct"/>
            <w:tcBorders>
              <w:tl2br w:val="nil"/>
              <w:tr2bl w:val="nil"/>
            </w:tcBorders>
            <w:shd w:val="clear" w:color="auto" w:fill="FFFFFF"/>
            <w:vAlign w:val="center"/>
          </w:tcPr>
          <w:p w14:paraId="6CD5A5C6" w14:textId="77777777" w:rsidR="00601AAC" w:rsidRDefault="0090397B">
            <w:pPr>
              <w:spacing w:after="0" w:line="240" w:lineRule="auto"/>
              <w:jc w:val="center"/>
              <w:rPr>
                <w:rFonts w:ascii="TH SarabunPSK" w:eastAsia="SimSun" w:hAnsi="TH SarabunPSK" w:cs="TH SarabunPSK"/>
                <w:b/>
                <w:bCs/>
                <w:color w:val="000000"/>
                <w:sz w:val="28"/>
                <w:szCs w:val="28"/>
              </w:rPr>
            </w:pPr>
            <w:r>
              <w:rPr>
                <w:rFonts w:ascii="TH SarabunPSK" w:eastAsia="SimSun" w:hAnsi="TH SarabunPSK" w:cs="TH SarabunPSK"/>
                <w:b/>
                <w:bCs/>
                <w:color w:val="000000" w:themeColor="text1"/>
                <w:sz w:val="28"/>
                <w:szCs w:val="28"/>
                <w:lang w:eastAsia="zh-CN" w:bidi="ar"/>
              </w:rPr>
              <w:t>B</w:t>
            </w:r>
          </w:p>
        </w:tc>
        <w:tc>
          <w:tcPr>
            <w:tcW w:w="640" w:type="pct"/>
            <w:tcBorders>
              <w:tl2br w:val="nil"/>
              <w:tr2bl w:val="nil"/>
            </w:tcBorders>
            <w:shd w:val="clear" w:color="auto" w:fill="FFFFFF"/>
            <w:vAlign w:val="center"/>
          </w:tcPr>
          <w:p w14:paraId="5B459DE1" w14:textId="77777777" w:rsidR="00601AAC" w:rsidRDefault="0090397B">
            <w:pPr>
              <w:spacing w:after="0" w:line="240" w:lineRule="auto"/>
              <w:jc w:val="center"/>
              <w:rPr>
                <w:rFonts w:ascii="TH SarabunPSK" w:eastAsia="SimSun" w:hAnsi="TH SarabunPSK" w:cs="TH SarabunPSK"/>
                <w:b/>
                <w:bCs/>
                <w:color w:val="000000"/>
                <w:sz w:val="28"/>
                <w:szCs w:val="28"/>
                <w:lang w:eastAsia="zh-CN"/>
              </w:rPr>
            </w:pPr>
            <w:r>
              <w:rPr>
                <w:rFonts w:ascii="TH SarabunPSK" w:eastAsia="SimSun" w:hAnsi="TH SarabunPSK" w:cs="TH SarabunPSK"/>
                <w:b/>
                <w:bCs/>
                <w:color w:val="000000"/>
                <w:sz w:val="28"/>
                <w:szCs w:val="28"/>
                <w:lang w:eastAsia="zh-CN"/>
              </w:rPr>
              <w:t>Std. Error</w:t>
            </w:r>
          </w:p>
        </w:tc>
        <w:tc>
          <w:tcPr>
            <w:tcW w:w="918" w:type="pct"/>
            <w:tcBorders>
              <w:tl2br w:val="nil"/>
              <w:tr2bl w:val="nil"/>
            </w:tcBorders>
            <w:shd w:val="clear" w:color="auto" w:fill="FFFFFF"/>
            <w:vAlign w:val="center"/>
          </w:tcPr>
          <w:p w14:paraId="18C6B1CF" w14:textId="77777777" w:rsidR="00601AAC" w:rsidRDefault="0090397B">
            <w:pPr>
              <w:spacing w:after="0" w:line="240" w:lineRule="auto"/>
              <w:jc w:val="center"/>
              <w:rPr>
                <w:rFonts w:ascii="TH SarabunPSK" w:eastAsia="SimSun" w:hAnsi="TH SarabunPSK" w:cs="TH SarabunPSK"/>
                <w:b/>
                <w:bCs/>
                <w:color w:val="000000"/>
                <w:sz w:val="28"/>
                <w:szCs w:val="28"/>
              </w:rPr>
            </w:pPr>
            <w:r>
              <w:rPr>
                <w:rFonts w:ascii="TH SarabunPSK" w:eastAsia="SimSun" w:hAnsi="TH SarabunPSK" w:cs="TH SarabunPSK"/>
                <w:b/>
                <w:bCs/>
                <w:color w:val="000000" w:themeColor="text1"/>
                <w:sz w:val="28"/>
                <w:szCs w:val="28"/>
                <w:lang w:eastAsia="zh-CN" w:bidi="ar"/>
              </w:rPr>
              <w:t>Beta</w:t>
            </w:r>
          </w:p>
        </w:tc>
        <w:tc>
          <w:tcPr>
            <w:tcW w:w="323" w:type="pct"/>
            <w:vMerge/>
            <w:tcBorders>
              <w:tl2br w:val="nil"/>
              <w:tr2bl w:val="nil"/>
            </w:tcBorders>
            <w:shd w:val="clear" w:color="auto" w:fill="FFFFFF"/>
            <w:vAlign w:val="center"/>
          </w:tcPr>
          <w:p w14:paraId="19A00959" w14:textId="77777777" w:rsidR="00601AAC" w:rsidRDefault="00601AAC">
            <w:pPr>
              <w:spacing w:after="0" w:line="240" w:lineRule="auto"/>
              <w:jc w:val="center"/>
              <w:rPr>
                <w:rFonts w:ascii="TH SarabunPSK" w:eastAsia="SimSun" w:hAnsi="TH SarabunPSK" w:cs="TH SarabunPSK"/>
                <w:b/>
                <w:bCs/>
                <w:color w:val="000000"/>
                <w:sz w:val="28"/>
                <w:szCs w:val="28"/>
              </w:rPr>
            </w:pPr>
          </w:p>
        </w:tc>
        <w:tc>
          <w:tcPr>
            <w:tcW w:w="275" w:type="pct"/>
            <w:vMerge/>
            <w:tcBorders>
              <w:tl2br w:val="nil"/>
              <w:tr2bl w:val="nil"/>
            </w:tcBorders>
            <w:shd w:val="clear" w:color="auto" w:fill="FFFFFF"/>
            <w:vAlign w:val="center"/>
          </w:tcPr>
          <w:p w14:paraId="2B93692F" w14:textId="77777777" w:rsidR="00601AAC" w:rsidRDefault="00601AAC">
            <w:pPr>
              <w:spacing w:after="0" w:line="240" w:lineRule="auto"/>
              <w:jc w:val="center"/>
              <w:rPr>
                <w:rFonts w:ascii="TH SarabunPSK" w:eastAsia="SimSun" w:hAnsi="TH SarabunPSK" w:cs="TH SarabunPSK"/>
                <w:b/>
                <w:bCs/>
                <w:color w:val="000000"/>
                <w:sz w:val="28"/>
                <w:szCs w:val="28"/>
              </w:rPr>
            </w:pPr>
          </w:p>
        </w:tc>
        <w:tc>
          <w:tcPr>
            <w:tcW w:w="365" w:type="pct"/>
            <w:tcBorders>
              <w:tl2br w:val="nil"/>
              <w:tr2bl w:val="nil"/>
            </w:tcBorders>
            <w:shd w:val="clear" w:color="auto" w:fill="FFFFFF"/>
            <w:vAlign w:val="center"/>
          </w:tcPr>
          <w:p w14:paraId="5136FF59" w14:textId="77777777" w:rsidR="00601AAC" w:rsidRDefault="0090397B">
            <w:pPr>
              <w:spacing w:after="0" w:line="240" w:lineRule="auto"/>
              <w:jc w:val="center"/>
              <w:rPr>
                <w:rFonts w:ascii="TH SarabunPSK" w:eastAsia="SimSun" w:hAnsi="TH SarabunPSK" w:cs="TH SarabunPSK"/>
                <w:b/>
                <w:bCs/>
                <w:color w:val="000000"/>
                <w:sz w:val="28"/>
                <w:szCs w:val="28"/>
              </w:rPr>
            </w:pPr>
            <w:r>
              <w:rPr>
                <w:rFonts w:ascii="TH SarabunPSK" w:eastAsia="SimSun" w:hAnsi="TH SarabunPSK" w:cs="TH SarabunPSK"/>
                <w:b/>
                <w:bCs/>
                <w:color w:val="000000" w:themeColor="text1"/>
                <w:sz w:val="28"/>
                <w:szCs w:val="28"/>
                <w:lang w:eastAsia="zh-CN" w:bidi="ar"/>
              </w:rPr>
              <w:t>VIF</w:t>
            </w:r>
          </w:p>
        </w:tc>
        <w:tc>
          <w:tcPr>
            <w:tcW w:w="717" w:type="pct"/>
            <w:tcBorders>
              <w:tl2br w:val="nil"/>
              <w:tr2bl w:val="nil"/>
            </w:tcBorders>
            <w:shd w:val="clear" w:color="auto" w:fill="FFFFFF"/>
            <w:vAlign w:val="center"/>
          </w:tcPr>
          <w:p w14:paraId="45EED9EA" w14:textId="77777777" w:rsidR="00601AAC" w:rsidRDefault="0090397B">
            <w:pPr>
              <w:spacing w:after="0" w:line="240" w:lineRule="auto"/>
              <w:jc w:val="center"/>
              <w:rPr>
                <w:rFonts w:ascii="TH SarabunPSK" w:eastAsia="SimSun" w:hAnsi="TH SarabunPSK" w:cs="TH SarabunPSK"/>
                <w:b/>
                <w:bCs/>
                <w:color w:val="000000"/>
                <w:sz w:val="28"/>
                <w:szCs w:val="28"/>
              </w:rPr>
            </w:pPr>
            <w:r>
              <w:rPr>
                <w:rFonts w:ascii="TH SarabunPSK" w:eastAsia="SimSun" w:hAnsi="TH SarabunPSK" w:cs="TH SarabunPSK"/>
                <w:b/>
                <w:bCs/>
                <w:color w:val="000000" w:themeColor="text1"/>
                <w:sz w:val="28"/>
                <w:szCs w:val="28"/>
                <w:lang w:eastAsia="zh-CN" w:bidi="ar"/>
              </w:rPr>
              <w:t>Tolerance</w:t>
            </w:r>
          </w:p>
        </w:tc>
      </w:tr>
      <w:tr w:rsidR="00601AAC" w14:paraId="2747A35D" w14:textId="77777777">
        <w:trPr>
          <w:trHeight w:val="381"/>
        </w:trPr>
        <w:tc>
          <w:tcPr>
            <w:tcW w:w="1253" w:type="pct"/>
            <w:tcBorders>
              <w:tl2br w:val="nil"/>
              <w:tr2bl w:val="nil"/>
            </w:tcBorders>
            <w:shd w:val="clear" w:color="auto" w:fill="FFFFFF"/>
            <w:vAlign w:val="center"/>
          </w:tcPr>
          <w:p w14:paraId="3ED51095" w14:textId="77777777" w:rsidR="00601AAC" w:rsidRDefault="0090397B">
            <w:pPr>
              <w:spacing w:after="0" w:line="240" w:lineRule="auto"/>
              <w:jc w:val="center"/>
              <w:rPr>
                <w:rFonts w:ascii="TH SarabunPSK" w:eastAsia="SimSun" w:hAnsi="TH SarabunPSK" w:cs="TH SarabunPSK"/>
                <w:color w:val="000000"/>
                <w:sz w:val="28"/>
                <w:szCs w:val="28"/>
                <w:lang w:eastAsia="zh-CN"/>
              </w:rPr>
            </w:pPr>
            <w:r>
              <w:rPr>
                <w:rFonts w:ascii="TH SarabunPSK" w:eastAsia="SimSun" w:hAnsi="TH SarabunPSK" w:cs="TH SarabunPSK"/>
                <w:color w:val="000000"/>
                <w:sz w:val="28"/>
                <w:szCs w:val="28"/>
                <w:lang w:eastAsia="zh-CN"/>
              </w:rPr>
              <w:t>(Constant)</w:t>
            </w:r>
          </w:p>
        </w:tc>
        <w:tc>
          <w:tcPr>
            <w:tcW w:w="505" w:type="pct"/>
            <w:tcBorders>
              <w:tl2br w:val="nil"/>
              <w:tr2bl w:val="nil"/>
            </w:tcBorders>
            <w:shd w:val="clear" w:color="auto" w:fill="FFFFFF"/>
            <w:vAlign w:val="center"/>
          </w:tcPr>
          <w:p w14:paraId="0EE9EDC9" w14:textId="77777777" w:rsidR="00601AAC" w:rsidRDefault="0090397B">
            <w:pPr>
              <w:spacing w:after="0" w:line="240" w:lineRule="auto"/>
              <w:jc w:val="center"/>
              <w:rPr>
                <w:rFonts w:ascii="TH SarabunPSK" w:eastAsia="SimSun" w:hAnsi="TH SarabunPSK" w:cs="TH SarabunPSK"/>
                <w:color w:val="000000"/>
                <w:sz w:val="28"/>
                <w:szCs w:val="28"/>
              </w:rPr>
            </w:pPr>
            <w:r>
              <w:rPr>
                <w:rFonts w:ascii="TH SarabunPSK" w:eastAsia="SimSun" w:hAnsi="TH SarabunPSK" w:cs="TH SarabunPSK"/>
                <w:color w:val="000000" w:themeColor="text1"/>
                <w:sz w:val="28"/>
                <w:szCs w:val="28"/>
                <w:lang w:eastAsia="zh-CN" w:bidi="ar"/>
              </w:rPr>
              <w:t>1.027</w:t>
            </w:r>
          </w:p>
        </w:tc>
        <w:tc>
          <w:tcPr>
            <w:tcW w:w="640" w:type="pct"/>
            <w:tcBorders>
              <w:tl2br w:val="nil"/>
              <w:tr2bl w:val="nil"/>
            </w:tcBorders>
            <w:shd w:val="clear" w:color="auto" w:fill="FFFFFF"/>
            <w:vAlign w:val="center"/>
          </w:tcPr>
          <w:p w14:paraId="3F5400B3" w14:textId="77777777" w:rsidR="00601AAC" w:rsidRDefault="0090397B">
            <w:pPr>
              <w:spacing w:after="0" w:line="240" w:lineRule="auto"/>
              <w:jc w:val="center"/>
              <w:rPr>
                <w:rFonts w:ascii="TH SarabunPSK" w:eastAsia="SimSun" w:hAnsi="TH SarabunPSK" w:cs="TH SarabunPSK"/>
                <w:color w:val="000000"/>
                <w:sz w:val="28"/>
                <w:szCs w:val="28"/>
              </w:rPr>
            </w:pPr>
            <w:r>
              <w:rPr>
                <w:rFonts w:ascii="TH SarabunPSK" w:eastAsia="SimSun" w:hAnsi="TH SarabunPSK" w:cs="TH SarabunPSK"/>
                <w:color w:val="000000" w:themeColor="text1"/>
                <w:sz w:val="28"/>
                <w:szCs w:val="28"/>
                <w:lang w:eastAsia="zh-CN" w:bidi="ar"/>
              </w:rPr>
              <w:t>0.123</w:t>
            </w:r>
          </w:p>
        </w:tc>
        <w:tc>
          <w:tcPr>
            <w:tcW w:w="918" w:type="pct"/>
            <w:tcBorders>
              <w:tl2br w:val="nil"/>
              <w:tr2bl w:val="nil"/>
            </w:tcBorders>
            <w:shd w:val="clear" w:color="auto" w:fill="FFFFFF"/>
            <w:vAlign w:val="center"/>
          </w:tcPr>
          <w:p w14:paraId="14ABB436" w14:textId="77777777" w:rsidR="00601AAC" w:rsidRDefault="00601AAC">
            <w:pPr>
              <w:spacing w:after="0" w:line="240" w:lineRule="auto"/>
              <w:jc w:val="center"/>
              <w:rPr>
                <w:rFonts w:ascii="TH SarabunPSK" w:eastAsia="SimSun" w:hAnsi="TH SarabunPSK" w:cs="TH SarabunPSK"/>
                <w:color w:val="000000"/>
                <w:sz w:val="28"/>
                <w:szCs w:val="28"/>
              </w:rPr>
            </w:pPr>
          </w:p>
        </w:tc>
        <w:tc>
          <w:tcPr>
            <w:tcW w:w="323" w:type="pct"/>
            <w:tcBorders>
              <w:tl2br w:val="nil"/>
              <w:tr2bl w:val="nil"/>
            </w:tcBorders>
            <w:shd w:val="clear" w:color="auto" w:fill="FFFFFF"/>
            <w:vAlign w:val="center"/>
          </w:tcPr>
          <w:p w14:paraId="1A2D45A6" w14:textId="77777777" w:rsidR="00601AAC" w:rsidRDefault="0090397B">
            <w:pPr>
              <w:spacing w:after="0" w:line="240" w:lineRule="auto"/>
              <w:jc w:val="center"/>
              <w:rPr>
                <w:rFonts w:ascii="TH SarabunPSK" w:eastAsia="SimSun" w:hAnsi="TH SarabunPSK" w:cs="TH SarabunPSK"/>
                <w:color w:val="000000"/>
                <w:sz w:val="28"/>
                <w:szCs w:val="28"/>
              </w:rPr>
            </w:pPr>
            <w:r>
              <w:rPr>
                <w:rFonts w:ascii="TH SarabunPSK" w:eastAsia="SimSun" w:hAnsi="TH SarabunPSK" w:cs="TH SarabunPSK"/>
                <w:color w:val="000000" w:themeColor="text1"/>
                <w:sz w:val="28"/>
                <w:szCs w:val="28"/>
                <w:lang w:eastAsia="zh-CN" w:bidi="ar"/>
              </w:rPr>
              <w:t>8.363</w:t>
            </w:r>
          </w:p>
        </w:tc>
        <w:tc>
          <w:tcPr>
            <w:tcW w:w="275" w:type="pct"/>
            <w:tcBorders>
              <w:tl2br w:val="nil"/>
              <w:tr2bl w:val="nil"/>
            </w:tcBorders>
            <w:shd w:val="clear" w:color="auto" w:fill="FFFFFF"/>
            <w:vAlign w:val="center"/>
          </w:tcPr>
          <w:p w14:paraId="55D5B676" w14:textId="77777777" w:rsidR="00601AAC" w:rsidRDefault="0090397B">
            <w:pPr>
              <w:spacing w:after="0" w:line="240" w:lineRule="auto"/>
              <w:jc w:val="center"/>
              <w:rPr>
                <w:rFonts w:ascii="TH SarabunPSK" w:eastAsia="SimSun" w:hAnsi="TH SarabunPSK" w:cs="TH SarabunPSK"/>
                <w:color w:val="000000"/>
                <w:sz w:val="28"/>
                <w:szCs w:val="28"/>
              </w:rPr>
            </w:pPr>
            <w:r>
              <w:rPr>
                <w:rFonts w:ascii="TH SarabunPSK" w:eastAsia="SimSun" w:hAnsi="TH SarabunPSK" w:cs="TH SarabunPSK"/>
                <w:color w:val="000000" w:themeColor="text1"/>
                <w:sz w:val="28"/>
                <w:szCs w:val="28"/>
                <w:lang w:eastAsia="zh-CN" w:bidi="ar"/>
              </w:rPr>
              <w:t>.000***</w:t>
            </w:r>
          </w:p>
        </w:tc>
        <w:tc>
          <w:tcPr>
            <w:tcW w:w="365" w:type="pct"/>
            <w:tcBorders>
              <w:tl2br w:val="nil"/>
              <w:tr2bl w:val="nil"/>
            </w:tcBorders>
            <w:shd w:val="clear" w:color="auto" w:fill="FFFFFF"/>
            <w:vAlign w:val="center"/>
          </w:tcPr>
          <w:p w14:paraId="02C5BFD0" w14:textId="77777777" w:rsidR="00601AAC" w:rsidRDefault="00601AAC">
            <w:pPr>
              <w:spacing w:after="0" w:line="240" w:lineRule="auto"/>
              <w:jc w:val="center"/>
              <w:rPr>
                <w:rFonts w:ascii="TH SarabunPSK" w:eastAsia="SimSun" w:hAnsi="TH SarabunPSK" w:cs="TH SarabunPSK"/>
                <w:color w:val="000000"/>
                <w:sz w:val="28"/>
                <w:szCs w:val="28"/>
              </w:rPr>
            </w:pPr>
          </w:p>
        </w:tc>
        <w:tc>
          <w:tcPr>
            <w:tcW w:w="717" w:type="pct"/>
            <w:tcBorders>
              <w:tl2br w:val="nil"/>
              <w:tr2bl w:val="nil"/>
            </w:tcBorders>
            <w:shd w:val="clear" w:color="auto" w:fill="FFFFFF"/>
            <w:vAlign w:val="center"/>
          </w:tcPr>
          <w:p w14:paraId="775C3419" w14:textId="77777777" w:rsidR="00601AAC" w:rsidRDefault="00601AAC">
            <w:pPr>
              <w:spacing w:after="0" w:line="240" w:lineRule="auto"/>
              <w:jc w:val="center"/>
              <w:rPr>
                <w:rFonts w:ascii="TH SarabunPSK" w:eastAsia="SimSun" w:hAnsi="TH SarabunPSK" w:cs="TH SarabunPSK"/>
                <w:color w:val="000000"/>
                <w:sz w:val="28"/>
                <w:szCs w:val="28"/>
              </w:rPr>
            </w:pPr>
          </w:p>
        </w:tc>
      </w:tr>
      <w:tr w:rsidR="00601AAC" w14:paraId="6731E9CD" w14:textId="77777777">
        <w:trPr>
          <w:trHeight w:val="231"/>
        </w:trPr>
        <w:tc>
          <w:tcPr>
            <w:tcW w:w="1253" w:type="pct"/>
            <w:tcBorders>
              <w:tl2br w:val="nil"/>
              <w:tr2bl w:val="nil"/>
            </w:tcBorders>
            <w:shd w:val="clear" w:color="auto" w:fill="FFFFFF"/>
            <w:vAlign w:val="center"/>
          </w:tcPr>
          <w:p w14:paraId="0252F025" w14:textId="77777777" w:rsidR="00601AAC" w:rsidRDefault="0090397B">
            <w:pPr>
              <w:spacing w:after="0" w:line="240" w:lineRule="auto"/>
              <w:rPr>
                <w:rFonts w:ascii="TH SarabunPSK" w:eastAsia="SimSun" w:hAnsi="TH SarabunPSK" w:cs="TH SarabunPSK"/>
                <w:color w:val="000000"/>
                <w:sz w:val="28"/>
                <w:szCs w:val="28"/>
              </w:rPr>
            </w:pPr>
            <w:r>
              <w:rPr>
                <w:rFonts w:ascii="TH SarabunPSK" w:eastAsia="SimSun" w:hAnsi="TH SarabunPSK" w:cs="TH SarabunPSK"/>
                <w:color w:val="000000"/>
                <w:sz w:val="28"/>
                <w:szCs w:val="28"/>
              </w:rPr>
              <w:t>Brand Recognition</w:t>
            </w:r>
          </w:p>
        </w:tc>
        <w:tc>
          <w:tcPr>
            <w:tcW w:w="505" w:type="pct"/>
            <w:tcBorders>
              <w:tl2br w:val="nil"/>
              <w:tr2bl w:val="nil"/>
            </w:tcBorders>
            <w:shd w:val="clear" w:color="auto" w:fill="FFFFFF"/>
            <w:vAlign w:val="center"/>
          </w:tcPr>
          <w:p w14:paraId="42D36840" w14:textId="77777777" w:rsidR="00601AAC" w:rsidRDefault="0090397B">
            <w:pPr>
              <w:spacing w:after="0" w:line="240" w:lineRule="auto"/>
              <w:jc w:val="center"/>
              <w:rPr>
                <w:rFonts w:ascii="TH SarabunPSK" w:eastAsia="SimSun" w:hAnsi="TH SarabunPSK" w:cs="TH SarabunPSK"/>
                <w:color w:val="000000"/>
                <w:sz w:val="28"/>
                <w:szCs w:val="28"/>
              </w:rPr>
            </w:pPr>
            <w:r>
              <w:rPr>
                <w:rFonts w:ascii="TH SarabunPSK" w:eastAsia="SimSun" w:hAnsi="TH SarabunPSK" w:cs="TH SarabunPSK"/>
                <w:color w:val="000000" w:themeColor="text1"/>
                <w:sz w:val="28"/>
                <w:szCs w:val="28"/>
                <w:lang w:eastAsia="zh-CN" w:bidi="ar"/>
              </w:rPr>
              <w:t>0.081</w:t>
            </w:r>
          </w:p>
        </w:tc>
        <w:tc>
          <w:tcPr>
            <w:tcW w:w="640" w:type="pct"/>
            <w:tcBorders>
              <w:tl2br w:val="nil"/>
              <w:tr2bl w:val="nil"/>
            </w:tcBorders>
            <w:shd w:val="clear" w:color="auto" w:fill="FFFFFF"/>
            <w:vAlign w:val="center"/>
          </w:tcPr>
          <w:p w14:paraId="43532A8E" w14:textId="77777777" w:rsidR="00601AAC" w:rsidRDefault="0090397B">
            <w:pPr>
              <w:spacing w:after="0" w:line="240" w:lineRule="auto"/>
              <w:jc w:val="center"/>
              <w:rPr>
                <w:rFonts w:ascii="TH SarabunPSK" w:eastAsia="SimSun" w:hAnsi="TH SarabunPSK" w:cs="TH SarabunPSK"/>
                <w:color w:val="000000"/>
                <w:sz w:val="28"/>
                <w:szCs w:val="28"/>
              </w:rPr>
            </w:pPr>
            <w:r>
              <w:rPr>
                <w:rFonts w:ascii="TH SarabunPSK" w:eastAsia="SimSun" w:hAnsi="TH SarabunPSK" w:cs="TH SarabunPSK"/>
                <w:color w:val="000000" w:themeColor="text1"/>
                <w:sz w:val="28"/>
                <w:szCs w:val="28"/>
                <w:lang w:eastAsia="zh-CN" w:bidi="ar"/>
              </w:rPr>
              <w:t>0.037</w:t>
            </w:r>
          </w:p>
        </w:tc>
        <w:tc>
          <w:tcPr>
            <w:tcW w:w="918" w:type="pct"/>
            <w:tcBorders>
              <w:tl2br w:val="nil"/>
              <w:tr2bl w:val="nil"/>
            </w:tcBorders>
            <w:shd w:val="clear" w:color="auto" w:fill="FFFFFF"/>
            <w:vAlign w:val="center"/>
          </w:tcPr>
          <w:p w14:paraId="6894691E" w14:textId="77777777" w:rsidR="00601AAC" w:rsidRDefault="0090397B">
            <w:pPr>
              <w:spacing w:after="0" w:line="240" w:lineRule="auto"/>
              <w:jc w:val="center"/>
              <w:rPr>
                <w:rFonts w:ascii="TH SarabunPSK" w:eastAsia="SimSun" w:hAnsi="TH SarabunPSK" w:cs="TH SarabunPSK"/>
                <w:color w:val="000000"/>
                <w:sz w:val="28"/>
                <w:szCs w:val="28"/>
              </w:rPr>
            </w:pPr>
            <w:r>
              <w:rPr>
                <w:rFonts w:ascii="TH SarabunPSK" w:eastAsia="SimSun" w:hAnsi="TH SarabunPSK" w:cs="TH SarabunPSK"/>
                <w:color w:val="000000" w:themeColor="text1"/>
                <w:sz w:val="28"/>
                <w:szCs w:val="28"/>
                <w:lang w:eastAsia="zh-CN" w:bidi="ar"/>
              </w:rPr>
              <w:t>0.116</w:t>
            </w:r>
          </w:p>
        </w:tc>
        <w:tc>
          <w:tcPr>
            <w:tcW w:w="323" w:type="pct"/>
            <w:tcBorders>
              <w:tl2br w:val="nil"/>
              <w:tr2bl w:val="nil"/>
            </w:tcBorders>
            <w:shd w:val="clear" w:color="auto" w:fill="FFFFFF"/>
            <w:vAlign w:val="center"/>
          </w:tcPr>
          <w:p w14:paraId="20919471" w14:textId="77777777" w:rsidR="00601AAC" w:rsidRDefault="0090397B">
            <w:pPr>
              <w:spacing w:after="0" w:line="240" w:lineRule="auto"/>
              <w:jc w:val="center"/>
              <w:rPr>
                <w:rFonts w:ascii="TH SarabunPSK" w:eastAsia="SimSun" w:hAnsi="TH SarabunPSK" w:cs="TH SarabunPSK"/>
                <w:color w:val="000000"/>
                <w:sz w:val="28"/>
                <w:szCs w:val="28"/>
              </w:rPr>
            </w:pPr>
            <w:r>
              <w:rPr>
                <w:rFonts w:ascii="TH SarabunPSK" w:eastAsia="SimSun" w:hAnsi="TH SarabunPSK" w:cs="TH SarabunPSK"/>
                <w:color w:val="000000" w:themeColor="text1"/>
                <w:sz w:val="28"/>
                <w:szCs w:val="28"/>
                <w:lang w:eastAsia="zh-CN" w:bidi="ar"/>
              </w:rPr>
              <w:t>2.189</w:t>
            </w:r>
          </w:p>
        </w:tc>
        <w:tc>
          <w:tcPr>
            <w:tcW w:w="275" w:type="pct"/>
            <w:tcBorders>
              <w:tl2br w:val="nil"/>
              <w:tr2bl w:val="nil"/>
            </w:tcBorders>
            <w:shd w:val="clear" w:color="auto" w:fill="FFFFFF"/>
            <w:vAlign w:val="center"/>
          </w:tcPr>
          <w:p w14:paraId="0BF88626" w14:textId="77777777" w:rsidR="00601AAC" w:rsidRDefault="0090397B">
            <w:pPr>
              <w:spacing w:after="0" w:line="240" w:lineRule="auto"/>
              <w:jc w:val="center"/>
              <w:rPr>
                <w:rFonts w:ascii="TH SarabunPSK" w:eastAsia="SimSun" w:hAnsi="TH SarabunPSK" w:cs="TH SarabunPSK"/>
                <w:color w:val="000000"/>
                <w:sz w:val="28"/>
                <w:szCs w:val="28"/>
              </w:rPr>
            </w:pPr>
            <w:r>
              <w:rPr>
                <w:rFonts w:ascii="TH SarabunPSK" w:eastAsia="SimSun" w:hAnsi="TH SarabunPSK" w:cs="TH SarabunPSK"/>
                <w:color w:val="000000" w:themeColor="text1"/>
                <w:sz w:val="28"/>
                <w:szCs w:val="28"/>
                <w:lang w:eastAsia="zh-CN" w:bidi="ar"/>
              </w:rPr>
              <w:t>.029*</w:t>
            </w:r>
          </w:p>
        </w:tc>
        <w:tc>
          <w:tcPr>
            <w:tcW w:w="365" w:type="pct"/>
            <w:tcBorders>
              <w:tl2br w:val="nil"/>
              <w:tr2bl w:val="nil"/>
            </w:tcBorders>
            <w:shd w:val="clear" w:color="auto" w:fill="FFFFFF"/>
            <w:vAlign w:val="center"/>
          </w:tcPr>
          <w:p w14:paraId="583F2423" w14:textId="77777777" w:rsidR="00601AAC" w:rsidRDefault="0090397B">
            <w:pPr>
              <w:spacing w:after="0" w:line="240" w:lineRule="auto"/>
              <w:jc w:val="center"/>
              <w:rPr>
                <w:rFonts w:ascii="TH SarabunPSK" w:eastAsia="SimSun" w:hAnsi="TH SarabunPSK" w:cs="TH SarabunPSK"/>
                <w:color w:val="000000"/>
                <w:sz w:val="28"/>
                <w:szCs w:val="28"/>
              </w:rPr>
            </w:pPr>
            <w:r>
              <w:rPr>
                <w:rFonts w:ascii="TH SarabunPSK" w:eastAsia="SimSun" w:hAnsi="TH SarabunPSK" w:cs="TH SarabunPSK"/>
                <w:color w:val="000000" w:themeColor="text1"/>
                <w:sz w:val="28"/>
                <w:szCs w:val="28"/>
                <w:lang w:eastAsia="zh-CN" w:bidi="ar"/>
              </w:rPr>
              <w:t>2.099</w:t>
            </w:r>
          </w:p>
        </w:tc>
        <w:tc>
          <w:tcPr>
            <w:tcW w:w="717" w:type="pct"/>
            <w:tcBorders>
              <w:tl2br w:val="nil"/>
              <w:tr2bl w:val="nil"/>
            </w:tcBorders>
            <w:shd w:val="clear" w:color="auto" w:fill="FFFFFF"/>
            <w:vAlign w:val="center"/>
          </w:tcPr>
          <w:p w14:paraId="095A45BC" w14:textId="77777777" w:rsidR="00601AAC" w:rsidRDefault="0090397B">
            <w:pPr>
              <w:spacing w:after="0" w:line="240" w:lineRule="auto"/>
              <w:jc w:val="center"/>
              <w:rPr>
                <w:rFonts w:ascii="TH SarabunPSK" w:eastAsia="SimSun" w:hAnsi="TH SarabunPSK" w:cs="TH SarabunPSK"/>
                <w:color w:val="000000"/>
                <w:sz w:val="28"/>
                <w:szCs w:val="28"/>
              </w:rPr>
            </w:pPr>
            <w:r>
              <w:rPr>
                <w:rFonts w:ascii="TH SarabunPSK" w:eastAsia="SimSun" w:hAnsi="TH SarabunPSK" w:cs="TH SarabunPSK"/>
                <w:color w:val="000000" w:themeColor="text1"/>
                <w:sz w:val="28"/>
                <w:szCs w:val="28"/>
                <w:lang w:eastAsia="zh-CN" w:bidi="ar"/>
              </w:rPr>
              <w:t>0.476</w:t>
            </w:r>
          </w:p>
        </w:tc>
      </w:tr>
      <w:tr w:rsidR="00601AAC" w14:paraId="1A9FDF99" w14:textId="77777777">
        <w:trPr>
          <w:trHeight w:val="231"/>
        </w:trPr>
        <w:tc>
          <w:tcPr>
            <w:tcW w:w="1253" w:type="pct"/>
            <w:tcBorders>
              <w:tl2br w:val="nil"/>
              <w:tr2bl w:val="nil"/>
            </w:tcBorders>
            <w:shd w:val="clear" w:color="auto" w:fill="FFFFFF"/>
            <w:vAlign w:val="center"/>
          </w:tcPr>
          <w:p w14:paraId="00E359A2" w14:textId="77777777" w:rsidR="00601AAC" w:rsidRDefault="0090397B">
            <w:pPr>
              <w:spacing w:after="0" w:line="240" w:lineRule="auto"/>
              <w:rPr>
                <w:rFonts w:ascii="TH SarabunPSK" w:eastAsia="SimSun" w:hAnsi="TH SarabunPSK" w:cs="TH SarabunPSK"/>
                <w:color w:val="000000"/>
                <w:sz w:val="28"/>
                <w:szCs w:val="28"/>
              </w:rPr>
            </w:pPr>
            <w:r>
              <w:rPr>
                <w:rFonts w:ascii="TH SarabunPSK" w:eastAsia="SimSun" w:hAnsi="TH SarabunPSK" w:cs="TH SarabunPSK"/>
                <w:color w:val="000000"/>
                <w:sz w:val="28"/>
                <w:szCs w:val="28"/>
              </w:rPr>
              <w:t>Brand Recall</w:t>
            </w:r>
          </w:p>
        </w:tc>
        <w:tc>
          <w:tcPr>
            <w:tcW w:w="505" w:type="pct"/>
            <w:tcBorders>
              <w:tl2br w:val="nil"/>
              <w:tr2bl w:val="nil"/>
            </w:tcBorders>
            <w:shd w:val="clear" w:color="auto" w:fill="FFFFFF"/>
            <w:vAlign w:val="center"/>
          </w:tcPr>
          <w:p w14:paraId="2CF24E81" w14:textId="77777777" w:rsidR="00601AAC" w:rsidRDefault="0090397B">
            <w:pPr>
              <w:spacing w:after="0" w:line="240" w:lineRule="auto"/>
              <w:jc w:val="center"/>
              <w:rPr>
                <w:rFonts w:ascii="TH SarabunPSK" w:eastAsia="SimSun" w:hAnsi="TH SarabunPSK" w:cs="TH SarabunPSK"/>
                <w:color w:val="000000"/>
                <w:sz w:val="28"/>
                <w:szCs w:val="28"/>
              </w:rPr>
            </w:pPr>
            <w:r>
              <w:rPr>
                <w:rFonts w:ascii="TH SarabunPSK" w:eastAsia="SimSun" w:hAnsi="TH SarabunPSK" w:cs="TH SarabunPSK"/>
                <w:color w:val="000000" w:themeColor="text1"/>
                <w:sz w:val="28"/>
                <w:szCs w:val="28"/>
                <w:lang w:eastAsia="zh-CN" w:bidi="ar"/>
              </w:rPr>
              <w:t>0.130</w:t>
            </w:r>
          </w:p>
        </w:tc>
        <w:tc>
          <w:tcPr>
            <w:tcW w:w="640" w:type="pct"/>
            <w:tcBorders>
              <w:tl2br w:val="nil"/>
              <w:tr2bl w:val="nil"/>
            </w:tcBorders>
            <w:shd w:val="clear" w:color="auto" w:fill="FFFFFF"/>
            <w:vAlign w:val="center"/>
          </w:tcPr>
          <w:p w14:paraId="66BA7C9C" w14:textId="77777777" w:rsidR="00601AAC" w:rsidRDefault="0090397B">
            <w:pPr>
              <w:spacing w:after="0" w:line="240" w:lineRule="auto"/>
              <w:jc w:val="center"/>
              <w:rPr>
                <w:rFonts w:ascii="TH SarabunPSK" w:eastAsia="SimSun" w:hAnsi="TH SarabunPSK" w:cs="TH SarabunPSK"/>
                <w:color w:val="000000"/>
                <w:sz w:val="28"/>
                <w:szCs w:val="28"/>
              </w:rPr>
            </w:pPr>
            <w:r>
              <w:rPr>
                <w:rFonts w:ascii="TH SarabunPSK" w:eastAsia="SimSun" w:hAnsi="TH SarabunPSK" w:cs="TH SarabunPSK"/>
                <w:color w:val="000000" w:themeColor="text1"/>
                <w:sz w:val="28"/>
                <w:szCs w:val="28"/>
                <w:lang w:eastAsia="zh-CN" w:bidi="ar"/>
              </w:rPr>
              <w:t>0.043</w:t>
            </w:r>
          </w:p>
        </w:tc>
        <w:tc>
          <w:tcPr>
            <w:tcW w:w="918" w:type="pct"/>
            <w:tcBorders>
              <w:tl2br w:val="nil"/>
              <w:tr2bl w:val="nil"/>
            </w:tcBorders>
            <w:shd w:val="clear" w:color="auto" w:fill="FFFFFF"/>
            <w:vAlign w:val="center"/>
          </w:tcPr>
          <w:p w14:paraId="1B4B5889" w14:textId="77777777" w:rsidR="00601AAC" w:rsidRDefault="0090397B">
            <w:pPr>
              <w:spacing w:after="0" w:line="240" w:lineRule="auto"/>
              <w:jc w:val="center"/>
              <w:rPr>
                <w:rFonts w:ascii="TH SarabunPSK" w:eastAsia="SimSun" w:hAnsi="TH SarabunPSK" w:cs="TH SarabunPSK"/>
                <w:color w:val="000000"/>
                <w:sz w:val="28"/>
                <w:szCs w:val="28"/>
              </w:rPr>
            </w:pPr>
            <w:r>
              <w:rPr>
                <w:rFonts w:ascii="TH SarabunPSK" w:eastAsia="SimSun" w:hAnsi="TH SarabunPSK" w:cs="TH SarabunPSK"/>
                <w:color w:val="000000" w:themeColor="text1"/>
                <w:sz w:val="28"/>
                <w:szCs w:val="28"/>
                <w:lang w:eastAsia="zh-CN" w:bidi="ar"/>
              </w:rPr>
              <w:t>0.168</w:t>
            </w:r>
          </w:p>
        </w:tc>
        <w:tc>
          <w:tcPr>
            <w:tcW w:w="323" w:type="pct"/>
            <w:tcBorders>
              <w:tl2br w:val="nil"/>
              <w:tr2bl w:val="nil"/>
            </w:tcBorders>
            <w:shd w:val="clear" w:color="auto" w:fill="FFFFFF"/>
            <w:vAlign w:val="center"/>
          </w:tcPr>
          <w:p w14:paraId="3490321F" w14:textId="77777777" w:rsidR="00601AAC" w:rsidRDefault="0090397B">
            <w:pPr>
              <w:spacing w:after="0" w:line="240" w:lineRule="auto"/>
              <w:jc w:val="center"/>
              <w:rPr>
                <w:rFonts w:ascii="TH SarabunPSK" w:eastAsia="SimSun" w:hAnsi="TH SarabunPSK" w:cs="TH SarabunPSK"/>
                <w:color w:val="000000"/>
                <w:sz w:val="28"/>
                <w:szCs w:val="28"/>
              </w:rPr>
            </w:pPr>
            <w:r>
              <w:rPr>
                <w:rFonts w:ascii="TH SarabunPSK" w:eastAsia="SimSun" w:hAnsi="TH SarabunPSK" w:cs="TH SarabunPSK"/>
                <w:color w:val="000000" w:themeColor="text1"/>
                <w:sz w:val="28"/>
                <w:szCs w:val="28"/>
                <w:lang w:eastAsia="zh-CN" w:bidi="ar"/>
              </w:rPr>
              <w:t>3.014</w:t>
            </w:r>
          </w:p>
        </w:tc>
        <w:tc>
          <w:tcPr>
            <w:tcW w:w="275" w:type="pct"/>
            <w:tcBorders>
              <w:tl2br w:val="nil"/>
              <w:tr2bl w:val="nil"/>
            </w:tcBorders>
            <w:shd w:val="clear" w:color="auto" w:fill="FFFFFF"/>
            <w:vAlign w:val="center"/>
          </w:tcPr>
          <w:p w14:paraId="1ADFAB80" w14:textId="77777777" w:rsidR="00601AAC" w:rsidRDefault="0090397B">
            <w:pPr>
              <w:spacing w:after="0" w:line="240" w:lineRule="auto"/>
              <w:jc w:val="center"/>
              <w:rPr>
                <w:rFonts w:ascii="TH SarabunPSK" w:eastAsia="SimSun" w:hAnsi="TH SarabunPSK" w:cs="TH SarabunPSK"/>
                <w:color w:val="000000"/>
                <w:sz w:val="28"/>
                <w:szCs w:val="28"/>
              </w:rPr>
            </w:pPr>
            <w:r>
              <w:rPr>
                <w:rFonts w:ascii="TH SarabunPSK" w:eastAsia="SimSun" w:hAnsi="TH SarabunPSK" w:cs="TH SarabunPSK"/>
                <w:color w:val="000000" w:themeColor="text1"/>
                <w:sz w:val="28"/>
                <w:szCs w:val="28"/>
                <w:lang w:eastAsia="zh-CN" w:bidi="ar"/>
              </w:rPr>
              <w:t>.003**</w:t>
            </w:r>
          </w:p>
        </w:tc>
        <w:tc>
          <w:tcPr>
            <w:tcW w:w="365" w:type="pct"/>
            <w:tcBorders>
              <w:tl2br w:val="nil"/>
              <w:tr2bl w:val="nil"/>
            </w:tcBorders>
            <w:shd w:val="clear" w:color="auto" w:fill="FFFFFF"/>
            <w:vAlign w:val="center"/>
          </w:tcPr>
          <w:p w14:paraId="11C317FB" w14:textId="77777777" w:rsidR="00601AAC" w:rsidRDefault="0090397B">
            <w:pPr>
              <w:spacing w:after="0" w:line="240" w:lineRule="auto"/>
              <w:jc w:val="center"/>
              <w:rPr>
                <w:rFonts w:ascii="TH SarabunPSK" w:eastAsia="SimSun" w:hAnsi="TH SarabunPSK" w:cs="TH SarabunPSK"/>
                <w:color w:val="000000"/>
                <w:sz w:val="28"/>
                <w:szCs w:val="28"/>
              </w:rPr>
            </w:pPr>
            <w:r>
              <w:rPr>
                <w:rFonts w:ascii="TH SarabunPSK" w:eastAsia="SimSun" w:hAnsi="TH SarabunPSK" w:cs="TH SarabunPSK"/>
                <w:color w:val="000000" w:themeColor="text1"/>
                <w:sz w:val="28"/>
                <w:szCs w:val="28"/>
                <w:lang w:eastAsia="zh-CN" w:bidi="ar"/>
              </w:rPr>
              <w:t>2.326</w:t>
            </w:r>
          </w:p>
        </w:tc>
        <w:tc>
          <w:tcPr>
            <w:tcW w:w="717" w:type="pct"/>
            <w:tcBorders>
              <w:tl2br w:val="nil"/>
              <w:tr2bl w:val="nil"/>
            </w:tcBorders>
            <w:shd w:val="clear" w:color="auto" w:fill="FFFFFF"/>
            <w:vAlign w:val="center"/>
          </w:tcPr>
          <w:p w14:paraId="047BC0CB" w14:textId="77777777" w:rsidR="00601AAC" w:rsidRDefault="0090397B">
            <w:pPr>
              <w:spacing w:after="0" w:line="240" w:lineRule="auto"/>
              <w:jc w:val="center"/>
              <w:rPr>
                <w:rFonts w:ascii="TH SarabunPSK" w:eastAsia="SimSun" w:hAnsi="TH SarabunPSK" w:cs="TH SarabunPSK"/>
                <w:color w:val="000000"/>
                <w:sz w:val="28"/>
                <w:szCs w:val="28"/>
              </w:rPr>
            </w:pPr>
            <w:r>
              <w:rPr>
                <w:rFonts w:ascii="TH SarabunPSK" w:eastAsia="SimSun" w:hAnsi="TH SarabunPSK" w:cs="TH SarabunPSK"/>
                <w:color w:val="000000" w:themeColor="text1"/>
                <w:sz w:val="28"/>
                <w:szCs w:val="28"/>
                <w:lang w:eastAsia="zh-CN" w:bidi="ar"/>
              </w:rPr>
              <w:t>0.430</w:t>
            </w:r>
          </w:p>
        </w:tc>
      </w:tr>
      <w:tr w:rsidR="00601AAC" w14:paraId="5A793D88" w14:textId="77777777">
        <w:trPr>
          <w:trHeight w:val="231"/>
        </w:trPr>
        <w:tc>
          <w:tcPr>
            <w:tcW w:w="1253" w:type="pct"/>
            <w:tcBorders>
              <w:tl2br w:val="nil"/>
              <w:tr2bl w:val="nil"/>
            </w:tcBorders>
            <w:shd w:val="clear" w:color="auto" w:fill="FFFFFF"/>
            <w:vAlign w:val="center"/>
          </w:tcPr>
          <w:p w14:paraId="0251BEBD" w14:textId="77777777" w:rsidR="00601AAC" w:rsidRDefault="0090397B">
            <w:pPr>
              <w:spacing w:after="0" w:line="240" w:lineRule="auto"/>
              <w:rPr>
                <w:rFonts w:ascii="TH SarabunPSK" w:eastAsia="SimSun" w:hAnsi="TH SarabunPSK" w:cs="TH SarabunPSK"/>
                <w:color w:val="000000"/>
                <w:sz w:val="28"/>
                <w:szCs w:val="28"/>
              </w:rPr>
            </w:pPr>
            <w:r>
              <w:rPr>
                <w:rFonts w:ascii="TH SarabunPSK" w:eastAsia="SimSun" w:hAnsi="TH SarabunPSK" w:cs="TH SarabunPSK"/>
                <w:color w:val="000000"/>
                <w:sz w:val="28"/>
                <w:szCs w:val="28"/>
              </w:rPr>
              <w:t xml:space="preserve">Brand </w:t>
            </w:r>
            <w:r>
              <w:rPr>
                <w:rFonts w:ascii="TH SarabunPSK" w:eastAsia="SimSun" w:hAnsi="TH SarabunPSK" w:cs="TH SarabunPSK"/>
                <w:color w:val="000000"/>
                <w:sz w:val="28"/>
                <w:szCs w:val="28"/>
              </w:rPr>
              <w:t>Preference</w:t>
            </w:r>
          </w:p>
        </w:tc>
        <w:tc>
          <w:tcPr>
            <w:tcW w:w="505" w:type="pct"/>
            <w:tcBorders>
              <w:tl2br w:val="nil"/>
              <w:tr2bl w:val="nil"/>
            </w:tcBorders>
            <w:shd w:val="clear" w:color="auto" w:fill="FFFFFF"/>
            <w:vAlign w:val="center"/>
          </w:tcPr>
          <w:p w14:paraId="150EF716" w14:textId="77777777" w:rsidR="00601AAC" w:rsidRDefault="0090397B">
            <w:pPr>
              <w:spacing w:after="0" w:line="240" w:lineRule="auto"/>
              <w:jc w:val="center"/>
              <w:rPr>
                <w:rFonts w:ascii="TH SarabunPSK" w:eastAsia="SimSun" w:hAnsi="TH SarabunPSK" w:cs="TH SarabunPSK"/>
                <w:color w:val="000000" w:themeColor="text1"/>
                <w:sz w:val="28"/>
                <w:szCs w:val="28"/>
                <w:lang w:eastAsia="zh-CN" w:bidi="ar"/>
              </w:rPr>
            </w:pPr>
            <w:r>
              <w:rPr>
                <w:rFonts w:ascii="TH SarabunPSK" w:eastAsia="SimSun" w:hAnsi="TH SarabunPSK" w:cs="TH SarabunPSK"/>
                <w:color w:val="000000" w:themeColor="text1"/>
                <w:sz w:val="28"/>
                <w:szCs w:val="28"/>
                <w:lang w:eastAsia="zh-CN" w:bidi="ar"/>
              </w:rPr>
              <w:t>0.119</w:t>
            </w:r>
          </w:p>
        </w:tc>
        <w:tc>
          <w:tcPr>
            <w:tcW w:w="640" w:type="pct"/>
            <w:tcBorders>
              <w:tl2br w:val="nil"/>
              <w:tr2bl w:val="nil"/>
            </w:tcBorders>
            <w:shd w:val="clear" w:color="auto" w:fill="FFFFFF"/>
            <w:vAlign w:val="center"/>
          </w:tcPr>
          <w:p w14:paraId="7A29B0BA" w14:textId="77777777" w:rsidR="00601AAC" w:rsidRDefault="0090397B">
            <w:pPr>
              <w:spacing w:after="0" w:line="240" w:lineRule="auto"/>
              <w:jc w:val="center"/>
              <w:rPr>
                <w:rFonts w:ascii="TH SarabunPSK" w:eastAsia="SimSun" w:hAnsi="TH SarabunPSK" w:cs="TH SarabunPSK"/>
                <w:color w:val="000000" w:themeColor="text1"/>
                <w:sz w:val="28"/>
                <w:szCs w:val="28"/>
                <w:lang w:eastAsia="zh-CN" w:bidi="ar"/>
              </w:rPr>
            </w:pPr>
            <w:r>
              <w:rPr>
                <w:rFonts w:ascii="TH SarabunPSK" w:eastAsia="SimSun" w:hAnsi="TH SarabunPSK" w:cs="TH SarabunPSK"/>
                <w:color w:val="000000" w:themeColor="text1"/>
                <w:sz w:val="28"/>
                <w:szCs w:val="28"/>
                <w:lang w:eastAsia="zh-CN" w:bidi="ar"/>
              </w:rPr>
              <w:t>0.044</w:t>
            </w:r>
          </w:p>
        </w:tc>
        <w:tc>
          <w:tcPr>
            <w:tcW w:w="918" w:type="pct"/>
            <w:tcBorders>
              <w:tl2br w:val="nil"/>
              <w:tr2bl w:val="nil"/>
            </w:tcBorders>
            <w:shd w:val="clear" w:color="auto" w:fill="FFFFFF"/>
            <w:vAlign w:val="center"/>
          </w:tcPr>
          <w:p w14:paraId="2C6DC715" w14:textId="77777777" w:rsidR="00601AAC" w:rsidRDefault="0090397B">
            <w:pPr>
              <w:spacing w:after="0" w:line="240" w:lineRule="auto"/>
              <w:jc w:val="center"/>
              <w:rPr>
                <w:rFonts w:ascii="TH SarabunPSK" w:eastAsia="SimSun" w:hAnsi="TH SarabunPSK" w:cs="TH SarabunPSK"/>
                <w:color w:val="000000" w:themeColor="text1"/>
                <w:sz w:val="28"/>
                <w:szCs w:val="28"/>
                <w:lang w:eastAsia="zh-CN" w:bidi="ar"/>
              </w:rPr>
            </w:pPr>
            <w:r>
              <w:rPr>
                <w:rFonts w:ascii="TH SarabunPSK" w:eastAsia="SimSun" w:hAnsi="TH SarabunPSK" w:cs="TH SarabunPSK"/>
                <w:color w:val="000000" w:themeColor="text1"/>
                <w:sz w:val="28"/>
                <w:szCs w:val="28"/>
                <w:lang w:eastAsia="zh-CN" w:bidi="ar"/>
              </w:rPr>
              <w:t>0.144</w:t>
            </w:r>
          </w:p>
        </w:tc>
        <w:tc>
          <w:tcPr>
            <w:tcW w:w="323" w:type="pct"/>
            <w:tcBorders>
              <w:tl2br w:val="nil"/>
              <w:tr2bl w:val="nil"/>
            </w:tcBorders>
            <w:shd w:val="clear" w:color="auto" w:fill="FFFFFF"/>
            <w:vAlign w:val="center"/>
          </w:tcPr>
          <w:p w14:paraId="0A7B3FAF" w14:textId="77777777" w:rsidR="00601AAC" w:rsidRDefault="0090397B">
            <w:pPr>
              <w:spacing w:after="0" w:line="240" w:lineRule="auto"/>
              <w:jc w:val="center"/>
              <w:rPr>
                <w:rFonts w:ascii="TH SarabunPSK" w:eastAsia="SimSun" w:hAnsi="TH SarabunPSK" w:cs="TH SarabunPSK"/>
                <w:color w:val="000000" w:themeColor="text1"/>
                <w:sz w:val="28"/>
                <w:szCs w:val="28"/>
                <w:lang w:eastAsia="zh-CN" w:bidi="ar"/>
              </w:rPr>
            </w:pPr>
            <w:r>
              <w:rPr>
                <w:rFonts w:ascii="TH SarabunPSK" w:eastAsia="SimSun" w:hAnsi="TH SarabunPSK" w:cs="TH SarabunPSK"/>
                <w:color w:val="000000" w:themeColor="text1"/>
                <w:sz w:val="28"/>
                <w:szCs w:val="28"/>
                <w:lang w:eastAsia="zh-CN" w:bidi="ar"/>
              </w:rPr>
              <w:t>2.682</w:t>
            </w:r>
          </w:p>
        </w:tc>
        <w:tc>
          <w:tcPr>
            <w:tcW w:w="275" w:type="pct"/>
            <w:tcBorders>
              <w:tl2br w:val="nil"/>
              <w:tr2bl w:val="nil"/>
            </w:tcBorders>
            <w:shd w:val="clear" w:color="auto" w:fill="FFFFFF"/>
            <w:vAlign w:val="center"/>
          </w:tcPr>
          <w:p w14:paraId="3546C1E4" w14:textId="77777777" w:rsidR="00601AAC" w:rsidRDefault="0090397B">
            <w:pPr>
              <w:spacing w:after="0" w:line="240" w:lineRule="auto"/>
              <w:jc w:val="center"/>
              <w:rPr>
                <w:rFonts w:ascii="TH SarabunPSK" w:eastAsia="SimSun" w:hAnsi="TH SarabunPSK" w:cs="TH SarabunPSK"/>
                <w:color w:val="000000" w:themeColor="text1"/>
                <w:sz w:val="28"/>
                <w:szCs w:val="28"/>
                <w:lang w:eastAsia="zh-CN" w:bidi="ar"/>
              </w:rPr>
            </w:pPr>
            <w:r>
              <w:rPr>
                <w:rFonts w:ascii="TH SarabunPSK" w:eastAsia="SimSun" w:hAnsi="TH SarabunPSK" w:cs="TH SarabunPSK"/>
                <w:color w:val="000000" w:themeColor="text1"/>
                <w:sz w:val="28"/>
                <w:szCs w:val="28"/>
                <w:lang w:eastAsia="zh-CN" w:bidi="ar"/>
              </w:rPr>
              <w:t>.008**</w:t>
            </w:r>
          </w:p>
        </w:tc>
        <w:tc>
          <w:tcPr>
            <w:tcW w:w="365" w:type="pct"/>
            <w:tcBorders>
              <w:tl2br w:val="nil"/>
              <w:tr2bl w:val="nil"/>
            </w:tcBorders>
            <w:shd w:val="clear" w:color="auto" w:fill="FFFFFF"/>
            <w:vAlign w:val="center"/>
          </w:tcPr>
          <w:p w14:paraId="76890CD6" w14:textId="77777777" w:rsidR="00601AAC" w:rsidRDefault="0090397B">
            <w:pPr>
              <w:spacing w:after="0" w:line="240" w:lineRule="auto"/>
              <w:jc w:val="center"/>
              <w:rPr>
                <w:rFonts w:ascii="TH SarabunPSK" w:eastAsia="SimSun" w:hAnsi="TH SarabunPSK" w:cs="TH SarabunPSK"/>
                <w:color w:val="000000" w:themeColor="text1"/>
                <w:sz w:val="28"/>
                <w:szCs w:val="28"/>
                <w:lang w:eastAsia="zh-CN" w:bidi="ar"/>
              </w:rPr>
            </w:pPr>
            <w:r>
              <w:rPr>
                <w:rFonts w:ascii="TH SarabunPSK" w:eastAsia="SimSun" w:hAnsi="TH SarabunPSK" w:cs="TH SarabunPSK"/>
                <w:color w:val="000000" w:themeColor="text1"/>
                <w:sz w:val="28"/>
                <w:szCs w:val="28"/>
                <w:lang w:eastAsia="zh-CN" w:bidi="ar"/>
              </w:rPr>
              <w:t>2.158</w:t>
            </w:r>
          </w:p>
        </w:tc>
        <w:tc>
          <w:tcPr>
            <w:tcW w:w="717" w:type="pct"/>
            <w:tcBorders>
              <w:tl2br w:val="nil"/>
              <w:tr2bl w:val="nil"/>
            </w:tcBorders>
            <w:shd w:val="clear" w:color="auto" w:fill="FFFFFF"/>
            <w:vAlign w:val="center"/>
          </w:tcPr>
          <w:p w14:paraId="02BE52C0" w14:textId="77777777" w:rsidR="00601AAC" w:rsidRDefault="0090397B">
            <w:pPr>
              <w:spacing w:after="0" w:line="240" w:lineRule="auto"/>
              <w:jc w:val="center"/>
              <w:rPr>
                <w:rFonts w:ascii="TH SarabunPSK" w:eastAsia="SimSun" w:hAnsi="TH SarabunPSK" w:cs="TH SarabunPSK"/>
                <w:color w:val="000000" w:themeColor="text1"/>
                <w:sz w:val="28"/>
                <w:szCs w:val="28"/>
                <w:lang w:eastAsia="zh-CN" w:bidi="ar"/>
              </w:rPr>
            </w:pPr>
            <w:r>
              <w:rPr>
                <w:rFonts w:ascii="TH SarabunPSK" w:eastAsia="SimSun" w:hAnsi="TH SarabunPSK" w:cs="TH SarabunPSK"/>
                <w:color w:val="000000" w:themeColor="text1"/>
                <w:sz w:val="28"/>
                <w:szCs w:val="28"/>
                <w:lang w:eastAsia="zh-CN" w:bidi="ar"/>
              </w:rPr>
              <w:t>0.463</w:t>
            </w:r>
          </w:p>
        </w:tc>
      </w:tr>
      <w:tr w:rsidR="00601AAC" w14:paraId="36FFA0DB" w14:textId="77777777">
        <w:trPr>
          <w:trHeight w:val="231"/>
        </w:trPr>
        <w:tc>
          <w:tcPr>
            <w:tcW w:w="1253" w:type="pct"/>
            <w:tcBorders>
              <w:tl2br w:val="nil"/>
              <w:tr2bl w:val="nil"/>
            </w:tcBorders>
            <w:shd w:val="clear" w:color="auto" w:fill="FFFFFF"/>
            <w:vAlign w:val="center"/>
          </w:tcPr>
          <w:p w14:paraId="783A6392" w14:textId="77777777" w:rsidR="00601AAC" w:rsidRDefault="0090397B">
            <w:pPr>
              <w:spacing w:after="0" w:line="240" w:lineRule="auto"/>
              <w:rPr>
                <w:rFonts w:ascii="TH SarabunPSK" w:eastAsia="SimSun" w:hAnsi="TH SarabunPSK" w:cs="TH SarabunPSK"/>
                <w:color w:val="000000"/>
                <w:sz w:val="28"/>
                <w:szCs w:val="28"/>
              </w:rPr>
            </w:pPr>
            <w:r>
              <w:rPr>
                <w:rFonts w:ascii="TH SarabunPSK" w:eastAsia="SimSun" w:hAnsi="TH SarabunPSK" w:cs="TH SarabunPSK"/>
                <w:color w:val="000000"/>
                <w:sz w:val="28"/>
                <w:szCs w:val="28"/>
              </w:rPr>
              <w:t>Brand Insistence</w:t>
            </w:r>
          </w:p>
        </w:tc>
        <w:tc>
          <w:tcPr>
            <w:tcW w:w="505" w:type="pct"/>
            <w:tcBorders>
              <w:tl2br w:val="nil"/>
              <w:tr2bl w:val="nil"/>
            </w:tcBorders>
            <w:shd w:val="clear" w:color="auto" w:fill="FFFFFF"/>
            <w:vAlign w:val="center"/>
          </w:tcPr>
          <w:p w14:paraId="730ACEB9" w14:textId="77777777" w:rsidR="00601AAC" w:rsidRDefault="0090397B">
            <w:pPr>
              <w:spacing w:after="0" w:line="240" w:lineRule="auto"/>
              <w:jc w:val="center"/>
              <w:rPr>
                <w:rFonts w:ascii="TH SarabunPSK" w:eastAsia="SimSun" w:hAnsi="TH SarabunPSK" w:cs="TH SarabunPSK"/>
                <w:color w:val="000000" w:themeColor="text1"/>
                <w:sz w:val="28"/>
                <w:szCs w:val="28"/>
                <w:lang w:eastAsia="zh-CN" w:bidi="ar"/>
              </w:rPr>
            </w:pPr>
            <w:r>
              <w:rPr>
                <w:rFonts w:ascii="TH SarabunPSK" w:eastAsia="SimSun" w:hAnsi="TH SarabunPSK" w:cs="TH SarabunPSK"/>
                <w:color w:val="000000" w:themeColor="text1"/>
                <w:sz w:val="28"/>
                <w:szCs w:val="28"/>
                <w:lang w:eastAsia="zh-CN" w:bidi="ar"/>
              </w:rPr>
              <w:t>0.128</w:t>
            </w:r>
          </w:p>
        </w:tc>
        <w:tc>
          <w:tcPr>
            <w:tcW w:w="640" w:type="pct"/>
            <w:tcBorders>
              <w:tl2br w:val="nil"/>
              <w:tr2bl w:val="nil"/>
            </w:tcBorders>
            <w:shd w:val="clear" w:color="auto" w:fill="FFFFFF"/>
            <w:vAlign w:val="center"/>
          </w:tcPr>
          <w:p w14:paraId="00A984A0" w14:textId="77777777" w:rsidR="00601AAC" w:rsidRDefault="0090397B">
            <w:pPr>
              <w:spacing w:after="0" w:line="240" w:lineRule="auto"/>
              <w:jc w:val="center"/>
              <w:rPr>
                <w:rFonts w:ascii="TH SarabunPSK" w:eastAsia="SimSun" w:hAnsi="TH SarabunPSK" w:cs="TH SarabunPSK"/>
                <w:color w:val="000000" w:themeColor="text1"/>
                <w:sz w:val="28"/>
                <w:szCs w:val="28"/>
                <w:lang w:eastAsia="zh-CN" w:bidi="ar"/>
              </w:rPr>
            </w:pPr>
            <w:r>
              <w:rPr>
                <w:rFonts w:ascii="TH SarabunPSK" w:eastAsia="SimSun" w:hAnsi="TH SarabunPSK" w:cs="TH SarabunPSK"/>
                <w:color w:val="000000" w:themeColor="text1"/>
                <w:sz w:val="28"/>
                <w:szCs w:val="28"/>
                <w:lang w:eastAsia="zh-CN" w:bidi="ar"/>
              </w:rPr>
              <w:t>0.043</w:t>
            </w:r>
          </w:p>
        </w:tc>
        <w:tc>
          <w:tcPr>
            <w:tcW w:w="918" w:type="pct"/>
            <w:tcBorders>
              <w:tl2br w:val="nil"/>
              <w:tr2bl w:val="nil"/>
            </w:tcBorders>
            <w:shd w:val="clear" w:color="auto" w:fill="FFFFFF"/>
            <w:vAlign w:val="center"/>
          </w:tcPr>
          <w:p w14:paraId="02519385" w14:textId="77777777" w:rsidR="00601AAC" w:rsidRDefault="0090397B">
            <w:pPr>
              <w:spacing w:after="0" w:line="240" w:lineRule="auto"/>
              <w:jc w:val="center"/>
              <w:rPr>
                <w:rFonts w:ascii="TH SarabunPSK" w:eastAsia="SimSun" w:hAnsi="TH SarabunPSK" w:cs="TH SarabunPSK"/>
                <w:color w:val="000000" w:themeColor="text1"/>
                <w:sz w:val="28"/>
                <w:szCs w:val="28"/>
                <w:lang w:eastAsia="zh-CN" w:bidi="ar"/>
              </w:rPr>
            </w:pPr>
            <w:r>
              <w:rPr>
                <w:rFonts w:ascii="TH SarabunPSK" w:eastAsia="SimSun" w:hAnsi="TH SarabunPSK" w:cs="TH SarabunPSK"/>
                <w:color w:val="000000" w:themeColor="text1"/>
                <w:sz w:val="28"/>
                <w:szCs w:val="28"/>
                <w:lang w:eastAsia="zh-CN" w:bidi="ar"/>
              </w:rPr>
              <w:t>0.145</w:t>
            </w:r>
          </w:p>
        </w:tc>
        <w:tc>
          <w:tcPr>
            <w:tcW w:w="323" w:type="pct"/>
            <w:tcBorders>
              <w:tl2br w:val="nil"/>
              <w:tr2bl w:val="nil"/>
            </w:tcBorders>
            <w:shd w:val="clear" w:color="auto" w:fill="FFFFFF"/>
            <w:vAlign w:val="center"/>
          </w:tcPr>
          <w:p w14:paraId="0E94FAEF" w14:textId="77777777" w:rsidR="00601AAC" w:rsidRDefault="0090397B">
            <w:pPr>
              <w:spacing w:after="0" w:line="240" w:lineRule="auto"/>
              <w:jc w:val="center"/>
              <w:rPr>
                <w:rFonts w:ascii="TH SarabunPSK" w:eastAsia="SimSun" w:hAnsi="TH SarabunPSK" w:cs="TH SarabunPSK"/>
                <w:color w:val="000000" w:themeColor="text1"/>
                <w:sz w:val="28"/>
                <w:szCs w:val="28"/>
                <w:lang w:eastAsia="zh-CN" w:bidi="ar"/>
              </w:rPr>
            </w:pPr>
            <w:r>
              <w:rPr>
                <w:rFonts w:ascii="TH SarabunPSK" w:eastAsia="SimSun" w:hAnsi="TH SarabunPSK" w:cs="TH SarabunPSK"/>
                <w:color w:val="000000" w:themeColor="text1"/>
                <w:sz w:val="28"/>
                <w:szCs w:val="28"/>
                <w:lang w:eastAsia="zh-CN" w:bidi="ar"/>
              </w:rPr>
              <w:t>2.979</w:t>
            </w:r>
          </w:p>
        </w:tc>
        <w:tc>
          <w:tcPr>
            <w:tcW w:w="275" w:type="pct"/>
            <w:tcBorders>
              <w:tl2br w:val="nil"/>
              <w:tr2bl w:val="nil"/>
            </w:tcBorders>
            <w:shd w:val="clear" w:color="auto" w:fill="FFFFFF"/>
            <w:vAlign w:val="center"/>
          </w:tcPr>
          <w:p w14:paraId="046B68D9" w14:textId="77777777" w:rsidR="00601AAC" w:rsidRDefault="0090397B">
            <w:pPr>
              <w:spacing w:after="0" w:line="240" w:lineRule="auto"/>
              <w:jc w:val="center"/>
              <w:rPr>
                <w:rFonts w:ascii="TH SarabunPSK" w:eastAsia="SimSun" w:hAnsi="TH SarabunPSK" w:cs="TH SarabunPSK"/>
                <w:color w:val="000000" w:themeColor="text1"/>
                <w:sz w:val="28"/>
                <w:szCs w:val="28"/>
                <w:lang w:eastAsia="zh-CN" w:bidi="ar"/>
              </w:rPr>
            </w:pPr>
            <w:r>
              <w:rPr>
                <w:rFonts w:ascii="TH SarabunPSK" w:eastAsia="SimSun" w:hAnsi="TH SarabunPSK" w:cs="TH SarabunPSK"/>
                <w:color w:val="000000" w:themeColor="text1"/>
                <w:sz w:val="28"/>
                <w:szCs w:val="28"/>
                <w:lang w:eastAsia="zh-CN" w:bidi="ar"/>
              </w:rPr>
              <w:t>.003**</w:t>
            </w:r>
          </w:p>
        </w:tc>
        <w:tc>
          <w:tcPr>
            <w:tcW w:w="365" w:type="pct"/>
            <w:tcBorders>
              <w:tl2br w:val="nil"/>
              <w:tr2bl w:val="nil"/>
            </w:tcBorders>
            <w:shd w:val="clear" w:color="auto" w:fill="FFFFFF"/>
            <w:vAlign w:val="center"/>
          </w:tcPr>
          <w:p w14:paraId="27A1F2A3" w14:textId="77777777" w:rsidR="00601AAC" w:rsidRDefault="0090397B">
            <w:pPr>
              <w:spacing w:after="0" w:line="240" w:lineRule="auto"/>
              <w:jc w:val="center"/>
              <w:rPr>
                <w:rFonts w:ascii="TH SarabunPSK" w:eastAsia="SimSun" w:hAnsi="TH SarabunPSK" w:cs="TH SarabunPSK"/>
                <w:color w:val="000000" w:themeColor="text1"/>
                <w:sz w:val="28"/>
                <w:szCs w:val="28"/>
                <w:lang w:eastAsia="zh-CN" w:bidi="ar"/>
              </w:rPr>
            </w:pPr>
            <w:r>
              <w:rPr>
                <w:rFonts w:ascii="TH SarabunPSK" w:eastAsia="SimSun" w:hAnsi="TH SarabunPSK" w:cs="TH SarabunPSK"/>
                <w:color w:val="000000" w:themeColor="text1"/>
                <w:sz w:val="28"/>
                <w:szCs w:val="28"/>
                <w:lang w:eastAsia="zh-CN" w:bidi="ar"/>
              </w:rPr>
              <w:t>1.777</w:t>
            </w:r>
          </w:p>
        </w:tc>
        <w:tc>
          <w:tcPr>
            <w:tcW w:w="717" w:type="pct"/>
            <w:tcBorders>
              <w:tl2br w:val="nil"/>
              <w:tr2bl w:val="nil"/>
            </w:tcBorders>
            <w:shd w:val="clear" w:color="auto" w:fill="FFFFFF"/>
            <w:vAlign w:val="center"/>
          </w:tcPr>
          <w:p w14:paraId="0AE60FFA" w14:textId="77777777" w:rsidR="00601AAC" w:rsidRDefault="0090397B">
            <w:pPr>
              <w:spacing w:after="0" w:line="240" w:lineRule="auto"/>
              <w:jc w:val="center"/>
              <w:rPr>
                <w:rFonts w:ascii="TH SarabunPSK" w:eastAsia="SimSun" w:hAnsi="TH SarabunPSK" w:cs="TH SarabunPSK"/>
                <w:color w:val="000000" w:themeColor="text1"/>
                <w:sz w:val="28"/>
                <w:szCs w:val="28"/>
                <w:lang w:eastAsia="zh-CN" w:bidi="ar"/>
              </w:rPr>
            </w:pPr>
            <w:r>
              <w:rPr>
                <w:rFonts w:ascii="TH SarabunPSK" w:eastAsia="SimSun" w:hAnsi="TH SarabunPSK" w:cs="TH SarabunPSK"/>
                <w:color w:val="000000" w:themeColor="text1"/>
                <w:sz w:val="28"/>
                <w:szCs w:val="28"/>
                <w:lang w:eastAsia="zh-CN" w:bidi="ar"/>
              </w:rPr>
              <w:t>0.563</w:t>
            </w:r>
          </w:p>
        </w:tc>
      </w:tr>
      <w:tr w:rsidR="00601AAC" w14:paraId="7757DCE7" w14:textId="77777777">
        <w:trPr>
          <w:trHeight w:val="231"/>
        </w:trPr>
        <w:tc>
          <w:tcPr>
            <w:tcW w:w="1253" w:type="pct"/>
            <w:tcBorders>
              <w:tl2br w:val="nil"/>
              <w:tr2bl w:val="nil"/>
            </w:tcBorders>
            <w:shd w:val="clear" w:color="auto" w:fill="FFFFFF"/>
            <w:vAlign w:val="center"/>
          </w:tcPr>
          <w:p w14:paraId="07CAC824" w14:textId="77777777" w:rsidR="00601AAC" w:rsidRDefault="0090397B">
            <w:pPr>
              <w:spacing w:after="0" w:line="240" w:lineRule="auto"/>
              <w:rPr>
                <w:rFonts w:ascii="TH SarabunPSK" w:eastAsia="SimSun" w:hAnsi="TH SarabunPSK" w:cs="TH SarabunPSK"/>
                <w:color w:val="000000"/>
                <w:sz w:val="28"/>
                <w:szCs w:val="28"/>
              </w:rPr>
            </w:pPr>
            <w:r>
              <w:rPr>
                <w:rFonts w:ascii="TH SarabunPSK" w:eastAsia="SimSun" w:hAnsi="TH SarabunPSK" w:cs="TH SarabunPSK"/>
                <w:color w:val="000000"/>
                <w:sz w:val="28"/>
                <w:szCs w:val="28"/>
              </w:rPr>
              <w:t>Emotional Attachment</w:t>
            </w:r>
          </w:p>
        </w:tc>
        <w:tc>
          <w:tcPr>
            <w:tcW w:w="505" w:type="pct"/>
            <w:tcBorders>
              <w:tl2br w:val="nil"/>
              <w:tr2bl w:val="nil"/>
            </w:tcBorders>
            <w:shd w:val="clear" w:color="auto" w:fill="FFFFFF"/>
            <w:vAlign w:val="center"/>
          </w:tcPr>
          <w:p w14:paraId="096CCF52" w14:textId="77777777" w:rsidR="00601AAC" w:rsidRDefault="0090397B">
            <w:pPr>
              <w:spacing w:after="0" w:line="240" w:lineRule="auto"/>
              <w:jc w:val="center"/>
              <w:rPr>
                <w:rFonts w:ascii="TH SarabunPSK" w:eastAsia="SimSun" w:hAnsi="TH SarabunPSK" w:cs="TH SarabunPSK"/>
                <w:color w:val="000000" w:themeColor="text1"/>
                <w:sz w:val="28"/>
                <w:szCs w:val="28"/>
                <w:lang w:eastAsia="zh-CN" w:bidi="ar"/>
              </w:rPr>
            </w:pPr>
            <w:r>
              <w:rPr>
                <w:rFonts w:ascii="TH SarabunPSK" w:eastAsia="SimSun" w:hAnsi="TH SarabunPSK" w:cs="TH SarabunPSK"/>
                <w:color w:val="000000" w:themeColor="text1"/>
                <w:sz w:val="28"/>
                <w:szCs w:val="28"/>
                <w:lang w:eastAsia="zh-CN" w:bidi="ar"/>
              </w:rPr>
              <w:t>0.241</w:t>
            </w:r>
          </w:p>
        </w:tc>
        <w:tc>
          <w:tcPr>
            <w:tcW w:w="640" w:type="pct"/>
            <w:tcBorders>
              <w:tl2br w:val="nil"/>
              <w:tr2bl w:val="nil"/>
            </w:tcBorders>
            <w:shd w:val="clear" w:color="auto" w:fill="FFFFFF"/>
            <w:vAlign w:val="center"/>
          </w:tcPr>
          <w:p w14:paraId="2E5A1FC8" w14:textId="77777777" w:rsidR="00601AAC" w:rsidRDefault="0090397B">
            <w:pPr>
              <w:spacing w:after="0" w:line="240" w:lineRule="auto"/>
              <w:jc w:val="center"/>
              <w:rPr>
                <w:rFonts w:ascii="TH SarabunPSK" w:eastAsia="SimSun" w:hAnsi="TH SarabunPSK" w:cs="TH SarabunPSK"/>
                <w:color w:val="000000" w:themeColor="text1"/>
                <w:sz w:val="28"/>
                <w:szCs w:val="28"/>
                <w:lang w:eastAsia="zh-CN" w:bidi="ar"/>
              </w:rPr>
            </w:pPr>
            <w:r>
              <w:rPr>
                <w:rFonts w:ascii="TH SarabunPSK" w:eastAsia="SimSun" w:hAnsi="TH SarabunPSK" w:cs="TH SarabunPSK"/>
                <w:color w:val="000000" w:themeColor="text1"/>
                <w:sz w:val="28"/>
                <w:szCs w:val="28"/>
                <w:lang w:eastAsia="zh-CN" w:bidi="ar"/>
              </w:rPr>
              <w:t>0.039</w:t>
            </w:r>
          </w:p>
        </w:tc>
        <w:tc>
          <w:tcPr>
            <w:tcW w:w="918" w:type="pct"/>
            <w:tcBorders>
              <w:tl2br w:val="nil"/>
              <w:tr2bl w:val="nil"/>
            </w:tcBorders>
            <w:shd w:val="clear" w:color="auto" w:fill="FFFFFF"/>
            <w:vAlign w:val="center"/>
          </w:tcPr>
          <w:p w14:paraId="52820ED3" w14:textId="77777777" w:rsidR="00601AAC" w:rsidRDefault="0090397B">
            <w:pPr>
              <w:spacing w:after="0" w:line="240" w:lineRule="auto"/>
              <w:jc w:val="center"/>
              <w:rPr>
                <w:rFonts w:ascii="TH SarabunPSK" w:eastAsia="SimSun" w:hAnsi="TH SarabunPSK" w:cs="TH SarabunPSK"/>
                <w:color w:val="000000" w:themeColor="text1"/>
                <w:sz w:val="28"/>
                <w:szCs w:val="28"/>
                <w:lang w:eastAsia="zh-CN" w:bidi="ar"/>
              </w:rPr>
            </w:pPr>
            <w:r>
              <w:rPr>
                <w:rFonts w:ascii="TH SarabunPSK" w:eastAsia="SimSun" w:hAnsi="TH SarabunPSK" w:cs="TH SarabunPSK"/>
                <w:color w:val="000000" w:themeColor="text1"/>
                <w:sz w:val="28"/>
                <w:szCs w:val="28"/>
                <w:lang w:eastAsia="zh-CN" w:bidi="ar"/>
              </w:rPr>
              <w:t>0.282</w:t>
            </w:r>
          </w:p>
        </w:tc>
        <w:tc>
          <w:tcPr>
            <w:tcW w:w="323" w:type="pct"/>
            <w:tcBorders>
              <w:tl2br w:val="nil"/>
              <w:tr2bl w:val="nil"/>
            </w:tcBorders>
            <w:shd w:val="clear" w:color="auto" w:fill="FFFFFF"/>
            <w:vAlign w:val="center"/>
          </w:tcPr>
          <w:p w14:paraId="627FA651" w14:textId="77777777" w:rsidR="00601AAC" w:rsidRDefault="0090397B">
            <w:pPr>
              <w:spacing w:after="0" w:line="240" w:lineRule="auto"/>
              <w:jc w:val="center"/>
              <w:rPr>
                <w:rFonts w:ascii="TH SarabunPSK" w:eastAsia="SimSun" w:hAnsi="TH SarabunPSK" w:cs="TH SarabunPSK"/>
                <w:color w:val="000000" w:themeColor="text1"/>
                <w:sz w:val="28"/>
                <w:szCs w:val="28"/>
                <w:lang w:eastAsia="zh-CN" w:bidi="ar"/>
              </w:rPr>
            </w:pPr>
            <w:r>
              <w:rPr>
                <w:rFonts w:ascii="TH SarabunPSK" w:eastAsia="SimSun" w:hAnsi="TH SarabunPSK" w:cs="TH SarabunPSK"/>
                <w:color w:val="000000" w:themeColor="text1"/>
                <w:sz w:val="28"/>
                <w:szCs w:val="28"/>
                <w:lang w:eastAsia="zh-CN" w:bidi="ar"/>
              </w:rPr>
              <w:t>6.128</w:t>
            </w:r>
          </w:p>
        </w:tc>
        <w:tc>
          <w:tcPr>
            <w:tcW w:w="275" w:type="pct"/>
            <w:tcBorders>
              <w:tl2br w:val="nil"/>
              <w:tr2bl w:val="nil"/>
            </w:tcBorders>
            <w:shd w:val="clear" w:color="auto" w:fill="FFFFFF"/>
            <w:vAlign w:val="center"/>
          </w:tcPr>
          <w:p w14:paraId="561C6052" w14:textId="77777777" w:rsidR="00601AAC" w:rsidRDefault="0090397B">
            <w:pPr>
              <w:spacing w:after="0" w:line="240" w:lineRule="auto"/>
              <w:jc w:val="center"/>
              <w:rPr>
                <w:rFonts w:ascii="TH SarabunPSK" w:eastAsia="SimSun" w:hAnsi="TH SarabunPSK" w:cs="TH SarabunPSK"/>
                <w:color w:val="000000" w:themeColor="text1"/>
                <w:sz w:val="28"/>
                <w:szCs w:val="28"/>
                <w:lang w:eastAsia="zh-CN" w:bidi="ar"/>
              </w:rPr>
            </w:pPr>
            <w:r>
              <w:rPr>
                <w:rFonts w:ascii="TH SarabunPSK" w:eastAsia="SimSun" w:hAnsi="TH SarabunPSK" w:cs="TH SarabunPSK"/>
                <w:color w:val="000000" w:themeColor="text1"/>
                <w:sz w:val="28"/>
                <w:szCs w:val="28"/>
                <w:lang w:eastAsia="zh-CN" w:bidi="ar"/>
              </w:rPr>
              <w:t>.000***</w:t>
            </w:r>
          </w:p>
        </w:tc>
        <w:tc>
          <w:tcPr>
            <w:tcW w:w="365" w:type="pct"/>
            <w:tcBorders>
              <w:tl2br w:val="nil"/>
              <w:tr2bl w:val="nil"/>
            </w:tcBorders>
            <w:shd w:val="clear" w:color="auto" w:fill="FFFFFF"/>
            <w:vAlign w:val="center"/>
          </w:tcPr>
          <w:p w14:paraId="19A7FD09" w14:textId="77777777" w:rsidR="00601AAC" w:rsidRDefault="0090397B">
            <w:pPr>
              <w:spacing w:after="0" w:line="240" w:lineRule="auto"/>
              <w:jc w:val="center"/>
              <w:rPr>
                <w:rFonts w:ascii="TH SarabunPSK" w:eastAsia="SimSun" w:hAnsi="TH SarabunPSK" w:cs="TH SarabunPSK"/>
                <w:color w:val="000000" w:themeColor="text1"/>
                <w:sz w:val="28"/>
                <w:szCs w:val="28"/>
                <w:lang w:eastAsia="zh-CN" w:bidi="ar"/>
              </w:rPr>
            </w:pPr>
            <w:r>
              <w:rPr>
                <w:rFonts w:ascii="TH SarabunPSK" w:eastAsia="SimSun" w:hAnsi="TH SarabunPSK" w:cs="TH SarabunPSK"/>
                <w:color w:val="000000" w:themeColor="text1"/>
                <w:sz w:val="28"/>
                <w:szCs w:val="28"/>
                <w:lang w:eastAsia="zh-CN" w:bidi="ar"/>
              </w:rPr>
              <w:t>1.586</w:t>
            </w:r>
          </w:p>
        </w:tc>
        <w:tc>
          <w:tcPr>
            <w:tcW w:w="717" w:type="pct"/>
            <w:tcBorders>
              <w:tl2br w:val="nil"/>
              <w:tr2bl w:val="nil"/>
            </w:tcBorders>
            <w:shd w:val="clear" w:color="auto" w:fill="FFFFFF"/>
            <w:vAlign w:val="center"/>
          </w:tcPr>
          <w:p w14:paraId="5CA3148A" w14:textId="77777777" w:rsidR="00601AAC" w:rsidRDefault="0090397B">
            <w:pPr>
              <w:spacing w:after="0" w:line="240" w:lineRule="auto"/>
              <w:jc w:val="center"/>
              <w:rPr>
                <w:rFonts w:ascii="TH SarabunPSK" w:eastAsia="SimSun" w:hAnsi="TH SarabunPSK" w:cs="TH SarabunPSK"/>
                <w:color w:val="000000" w:themeColor="text1"/>
                <w:sz w:val="28"/>
                <w:szCs w:val="28"/>
                <w:lang w:eastAsia="zh-CN" w:bidi="ar"/>
              </w:rPr>
            </w:pPr>
            <w:r>
              <w:rPr>
                <w:rFonts w:ascii="TH SarabunPSK" w:eastAsia="SimSun" w:hAnsi="TH SarabunPSK" w:cs="TH SarabunPSK"/>
                <w:color w:val="000000" w:themeColor="text1"/>
                <w:sz w:val="28"/>
                <w:szCs w:val="28"/>
                <w:lang w:eastAsia="zh-CN" w:bidi="ar"/>
              </w:rPr>
              <w:t>0.631</w:t>
            </w:r>
          </w:p>
        </w:tc>
      </w:tr>
      <w:tr w:rsidR="00601AAC" w14:paraId="3EF5F420" w14:textId="77777777">
        <w:trPr>
          <w:trHeight w:val="231"/>
        </w:trPr>
        <w:tc>
          <w:tcPr>
            <w:tcW w:w="1253" w:type="pct"/>
            <w:tcBorders>
              <w:tl2br w:val="nil"/>
              <w:tr2bl w:val="nil"/>
            </w:tcBorders>
            <w:shd w:val="clear" w:color="auto" w:fill="FFFFFF"/>
            <w:vAlign w:val="center"/>
          </w:tcPr>
          <w:p w14:paraId="00C283E8" w14:textId="77777777" w:rsidR="00601AAC" w:rsidRDefault="0090397B">
            <w:pPr>
              <w:spacing w:after="0" w:line="240" w:lineRule="auto"/>
              <w:jc w:val="center"/>
              <w:rPr>
                <w:rFonts w:ascii="TH SarabunPSK" w:eastAsia="SimSun" w:hAnsi="TH SarabunPSK" w:cs="TH SarabunPSK"/>
                <w:color w:val="000000"/>
                <w:sz w:val="28"/>
                <w:szCs w:val="28"/>
              </w:rPr>
            </w:pPr>
            <w:r>
              <w:rPr>
                <w:rFonts w:ascii="TH SarabunPSK" w:eastAsia="SimSun" w:hAnsi="TH SarabunPSK" w:cs="TH SarabunPSK"/>
                <w:b/>
                <w:bCs/>
                <w:color w:val="000000" w:themeColor="text1"/>
                <w:sz w:val="28"/>
                <w:szCs w:val="28"/>
                <w:lang w:eastAsia="zh-CN" w:bidi="ar"/>
              </w:rPr>
              <w:t>R</w:t>
            </w:r>
          </w:p>
        </w:tc>
        <w:tc>
          <w:tcPr>
            <w:tcW w:w="505" w:type="pct"/>
            <w:tcBorders>
              <w:tl2br w:val="nil"/>
              <w:tr2bl w:val="nil"/>
            </w:tcBorders>
            <w:shd w:val="clear" w:color="auto" w:fill="FFFFFF"/>
            <w:vAlign w:val="center"/>
          </w:tcPr>
          <w:p w14:paraId="414B03AB" w14:textId="77777777" w:rsidR="00601AAC" w:rsidRDefault="0090397B">
            <w:pPr>
              <w:spacing w:after="0" w:line="240" w:lineRule="auto"/>
              <w:jc w:val="center"/>
              <w:rPr>
                <w:rFonts w:ascii="TH SarabunPSK" w:eastAsia="SimSun" w:hAnsi="TH SarabunPSK" w:cs="TH SarabunPSK"/>
                <w:color w:val="000000" w:themeColor="text1"/>
                <w:sz w:val="28"/>
                <w:szCs w:val="28"/>
                <w:lang w:eastAsia="zh-CN" w:bidi="ar"/>
              </w:rPr>
            </w:pPr>
            <w:r>
              <w:rPr>
                <w:rFonts w:ascii="TH SarabunPSK" w:eastAsia="SimSun" w:hAnsi="TH SarabunPSK" w:cs="TH SarabunPSK"/>
                <w:b/>
                <w:bCs/>
                <w:color w:val="000000" w:themeColor="text1"/>
                <w:sz w:val="28"/>
                <w:szCs w:val="28"/>
                <w:lang w:eastAsia="zh-CN" w:bidi="ar"/>
              </w:rPr>
              <w:t>R</w:t>
            </w:r>
            <w:r>
              <w:rPr>
                <w:rFonts w:ascii="TH SarabunPSK" w:eastAsia="SimSun" w:hAnsi="TH SarabunPSK" w:cs="TH SarabunPSK"/>
                <w:b/>
                <w:bCs/>
                <w:color w:val="000000" w:themeColor="text1"/>
                <w:sz w:val="28"/>
                <w:szCs w:val="28"/>
                <w:vertAlign w:val="superscript"/>
                <w:lang w:eastAsia="zh-CN" w:bidi="ar"/>
              </w:rPr>
              <w:t>2</w:t>
            </w:r>
          </w:p>
        </w:tc>
        <w:tc>
          <w:tcPr>
            <w:tcW w:w="640" w:type="pct"/>
            <w:tcBorders>
              <w:tl2br w:val="nil"/>
              <w:tr2bl w:val="nil"/>
            </w:tcBorders>
            <w:shd w:val="clear" w:color="auto" w:fill="FFFFFF"/>
            <w:vAlign w:val="center"/>
          </w:tcPr>
          <w:p w14:paraId="75D88D49" w14:textId="77777777" w:rsidR="00601AAC" w:rsidRDefault="0090397B">
            <w:pPr>
              <w:spacing w:after="0" w:line="240" w:lineRule="auto"/>
              <w:jc w:val="center"/>
              <w:rPr>
                <w:rFonts w:ascii="TH SarabunPSK" w:eastAsia="SimSun" w:hAnsi="TH SarabunPSK" w:cs="TH SarabunPSK"/>
                <w:color w:val="000000" w:themeColor="text1"/>
                <w:sz w:val="28"/>
                <w:szCs w:val="28"/>
                <w:lang w:eastAsia="zh-CN" w:bidi="ar"/>
              </w:rPr>
            </w:pPr>
            <w:r>
              <w:rPr>
                <w:rFonts w:ascii="TH SarabunPSK" w:eastAsia="SimSun" w:hAnsi="TH SarabunPSK" w:cs="TH SarabunPSK"/>
                <w:b/>
                <w:bCs/>
                <w:color w:val="000000"/>
                <w:sz w:val="28"/>
                <w:szCs w:val="28"/>
                <w:lang w:eastAsia="zh-CN" w:bidi="ar"/>
              </w:rPr>
              <w:t>Adjust R</w:t>
            </w:r>
            <w:r>
              <w:rPr>
                <w:rFonts w:ascii="TH SarabunPSK" w:eastAsia="SimSun" w:hAnsi="TH SarabunPSK" w:cs="TH SarabunPSK"/>
                <w:b/>
                <w:bCs/>
                <w:color w:val="000000"/>
                <w:sz w:val="28"/>
                <w:szCs w:val="28"/>
                <w:vertAlign w:val="superscript"/>
                <w:lang w:eastAsia="zh-CN" w:bidi="ar"/>
              </w:rPr>
              <w:t>2</w:t>
            </w:r>
          </w:p>
        </w:tc>
        <w:tc>
          <w:tcPr>
            <w:tcW w:w="918" w:type="pct"/>
            <w:tcBorders>
              <w:tl2br w:val="nil"/>
              <w:tr2bl w:val="nil"/>
            </w:tcBorders>
            <w:shd w:val="clear" w:color="auto" w:fill="FFFFFF"/>
            <w:vAlign w:val="center"/>
          </w:tcPr>
          <w:p w14:paraId="0FB130D8" w14:textId="77777777" w:rsidR="00601AAC" w:rsidRDefault="0090397B">
            <w:pPr>
              <w:spacing w:after="0" w:line="240" w:lineRule="auto"/>
              <w:jc w:val="center"/>
              <w:rPr>
                <w:rFonts w:ascii="TH SarabunPSK" w:eastAsia="SimSun" w:hAnsi="TH SarabunPSK" w:cs="TH SarabunPSK"/>
                <w:color w:val="000000" w:themeColor="text1"/>
                <w:sz w:val="28"/>
                <w:szCs w:val="28"/>
                <w:lang w:eastAsia="zh-CN" w:bidi="ar"/>
              </w:rPr>
            </w:pPr>
            <w:r>
              <w:rPr>
                <w:rFonts w:ascii="TH SarabunPSK" w:eastAsia="SimSun" w:hAnsi="TH SarabunPSK" w:cs="TH SarabunPSK"/>
                <w:b/>
                <w:bCs/>
                <w:color w:val="000000" w:themeColor="text1"/>
                <w:sz w:val="28"/>
                <w:szCs w:val="28"/>
                <w:lang w:eastAsia="zh-CN" w:bidi="ar"/>
              </w:rPr>
              <w:t>SE(est.)</w:t>
            </w:r>
          </w:p>
        </w:tc>
        <w:tc>
          <w:tcPr>
            <w:tcW w:w="323" w:type="pct"/>
            <w:tcBorders>
              <w:tl2br w:val="nil"/>
              <w:tr2bl w:val="nil"/>
            </w:tcBorders>
            <w:shd w:val="clear" w:color="auto" w:fill="FFFFFF"/>
            <w:vAlign w:val="center"/>
          </w:tcPr>
          <w:p w14:paraId="1BAB83BF" w14:textId="77777777" w:rsidR="00601AAC" w:rsidRDefault="0090397B">
            <w:pPr>
              <w:spacing w:after="0" w:line="240" w:lineRule="auto"/>
              <w:jc w:val="center"/>
              <w:rPr>
                <w:rFonts w:ascii="TH SarabunPSK" w:eastAsia="SimSun" w:hAnsi="TH SarabunPSK" w:cs="TH SarabunPSK"/>
                <w:color w:val="000000" w:themeColor="text1"/>
                <w:sz w:val="28"/>
                <w:szCs w:val="28"/>
                <w:lang w:eastAsia="zh-CN" w:bidi="ar"/>
              </w:rPr>
            </w:pPr>
            <w:r>
              <w:rPr>
                <w:rFonts w:ascii="TH SarabunPSK" w:eastAsia="SimSun" w:hAnsi="TH SarabunPSK" w:cs="TH SarabunPSK"/>
                <w:b/>
                <w:bCs/>
                <w:color w:val="000000" w:themeColor="text1"/>
                <w:sz w:val="28"/>
                <w:szCs w:val="28"/>
                <w:lang w:eastAsia="zh-CN" w:bidi="ar"/>
              </w:rPr>
              <w:t>F</w:t>
            </w:r>
          </w:p>
        </w:tc>
        <w:tc>
          <w:tcPr>
            <w:tcW w:w="275" w:type="pct"/>
            <w:tcBorders>
              <w:tl2br w:val="nil"/>
              <w:tr2bl w:val="nil"/>
            </w:tcBorders>
            <w:shd w:val="clear" w:color="auto" w:fill="FFFFFF"/>
            <w:vAlign w:val="center"/>
          </w:tcPr>
          <w:p w14:paraId="1DE9EF7C" w14:textId="77777777" w:rsidR="00601AAC" w:rsidRDefault="0090397B">
            <w:pPr>
              <w:spacing w:after="0" w:line="240" w:lineRule="auto"/>
              <w:jc w:val="center"/>
              <w:rPr>
                <w:rFonts w:ascii="TH SarabunPSK" w:eastAsia="SimSun" w:hAnsi="TH SarabunPSK" w:cs="TH SarabunPSK"/>
                <w:color w:val="000000" w:themeColor="text1"/>
                <w:sz w:val="28"/>
                <w:szCs w:val="28"/>
                <w:lang w:eastAsia="zh-CN" w:bidi="ar"/>
              </w:rPr>
            </w:pPr>
            <w:r>
              <w:rPr>
                <w:rFonts w:ascii="TH SarabunPSK" w:eastAsia="SimSun" w:hAnsi="TH SarabunPSK" w:cs="TH SarabunPSK"/>
                <w:b/>
                <w:bCs/>
                <w:color w:val="000000" w:themeColor="text1"/>
                <w:sz w:val="28"/>
                <w:szCs w:val="28"/>
                <w:lang w:eastAsia="zh-CN" w:bidi="ar"/>
              </w:rPr>
              <w:t>Sig.</w:t>
            </w:r>
          </w:p>
        </w:tc>
        <w:tc>
          <w:tcPr>
            <w:tcW w:w="365" w:type="pct"/>
            <w:tcBorders>
              <w:tl2br w:val="nil"/>
              <w:tr2bl w:val="nil"/>
            </w:tcBorders>
            <w:shd w:val="clear" w:color="auto" w:fill="FFFFFF"/>
            <w:vAlign w:val="center"/>
          </w:tcPr>
          <w:p w14:paraId="32952B42" w14:textId="77777777" w:rsidR="00601AAC" w:rsidRDefault="00601AAC">
            <w:pPr>
              <w:spacing w:after="0" w:line="240" w:lineRule="auto"/>
              <w:jc w:val="center"/>
              <w:rPr>
                <w:rFonts w:ascii="TH SarabunPSK" w:eastAsia="SimSun" w:hAnsi="TH SarabunPSK" w:cs="TH SarabunPSK"/>
                <w:color w:val="000000" w:themeColor="text1"/>
                <w:sz w:val="28"/>
                <w:szCs w:val="28"/>
                <w:lang w:eastAsia="zh-CN" w:bidi="ar"/>
              </w:rPr>
            </w:pPr>
          </w:p>
        </w:tc>
        <w:tc>
          <w:tcPr>
            <w:tcW w:w="717" w:type="pct"/>
            <w:tcBorders>
              <w:tl2br w:val="nil"/>
              <w:tr2bl w:val="nil"/>
            </w:tcBorders>
            <w:shd w:val="clear" w:color="auto" w:fill="FFFFFF"/>
            <w:vAlign w:val="center"/>
          </w:tcPr>
          <w:p w14:paraId="1FA95A32" w14:textId="77777777" w:rsidR="00601AAC" w:rsidRDefault="00601AAC">
            <w:pPr>
              <w:spacing w:after="0" w:line="240" w:lineRule="auto"/>
              <w:jc w:val="center"/>
              <w:rPr>
                <w:rFonts w:ascii="TH SarabunPSK" w:eastAsia="SimSun" w:hAnsi="TH SarabunPSK" w:cs="TH SarabunPSK"/>
                <w:color w:val="000000" w:themeColor="text1"/>
                <w:sz w:val="28"/>
                <w:szCs w:val="28"/>
                <w:lang w:eastAsia="zh-CN" w:bidi="ar"/>
              </w:rPr>
            </w:pPr>
          </w:p>
        </w:tc>
      </w:tr>
      <w:tr w:rsidR="00601AAC" w14:paraId="3E5C5480" w14:textId="77777777">
        <w:trPr>
          <w:trHeight w:val="231"/>
        </w:trPr>
        <w:tc>
          <w:tcPr>
            <w:tcW w:w="1253" w:type="pct"/>
            <w:tcBorders>
              <w:tl2br w:val="nil"/>
              <w:tr2bl w:val="nil"/>
            </w:tcBorders>
            <w:shd w:val="clear" w:color="auto" w:fill="FFFFFF"/>
            <w:vAlign w:val="center"/>
          </w:tcPr>
          <w:p w14:paraId="7CA33FCB" w14:textId="77777777" w:rsidR="00601AAC" w:rsidRDefault="0090397B">
            <w:pPr>
              <w:spacing w:after="0" w:line="240" w:lineRule="auto"/>
              <w:jc w:val="center"/>
              <w:rPr>
                <w:rFonts w:ascii="TH SarabunPSK" w:eastAsia="SimSun" w:hAnsi="TH SarabunPSK" w:cs="TH SarabunPSK"/>
                <w:color w:val="000000"/>
                <w:sz w:val="28"/>
                <w:szCs w:val="28"/>
              </w:rPr>
            </w:pPr>
            <w:r>
              <w:rPr>
                <w:rFonts w:ascii="TH SarabunPSK" w:eastAsia="SimSun" w:hAnsi="TH SarabunPSK" w:cs="TH SarabunPSK"/>
                <w:color w:val="000000" w:themeColor="text1"/>
                <w:sz w:val="28"/>
                <w:szCs w:val="28"/>
                <w:lang w:eastAsia="zh-CN" w:bidi="ar"/>
              </w:rPr>
              <w:t>0.687</w:t>
            </w:r>
          </w:p>
        </w:tc>
        <w:tc>
          <w:tcPr>
            <w:tcW w:w="505" w:type="pct"/>
            <w:tcBorders>
              <w:tl2br w:val="nil"/>
              <w:tr2bl w:val="nil"/>
            </w:tcBorders>
            <w:shd w:val="clear" w:color="auto" w:fill="FFFFFF"/>
            <w:vAlign w:val="center"/>
          </w:tcPr>
          <w:p w14:paraId="1DD35C96" w14:textId="77777777" w:rsidR="00601AAC" w:rsidRDefault="0090397B">
            <w:pPr>
              <w:spacing w:after="0" w:line="240" w:lineRule="auto"/>
              <w:jc w:val="center"/>
              <w:rPr>
                <w:rFonts w:ascii="TH SarabunPSK" w:eastAsia="SimSun" w:hAnsi="TH SarabunPSK" w:cs="TH SarabunPSK"/>
                <w:color w:val="000000" w:themeColor="text1"/>
                <w:sz w:val="28"/>
                <w:szCs w:val="28"/>
                <w:lang w:eastAsia="zh-CN" w:bidi="ar"/>
              </w:rPr>
            </w:pPr>
            <w:r>
              <w:rPr>
                <w:rFonts w:ascii="TH SarabunPSK" w:eastAsia="SimSun" w:hAnsi="TH SarabunPSK" w:cs="TH SarabunPSK"/>
                <w:color w:val="000000" w:themeColor="text1"/>
                <w:sz w:val="28"/>
                <w:szCs w:val="28"/>
                <w:lang w:eastAsia="zh-CN" w:bidi="ar"/>
              </w:rPr>
              <w:t>0.473</w:t>
            </w:r>
          </w:p>
        </w:tc>
        <w:tc>
          <w:tcPr>
            <w:tcW w:w="640" w:type="pct"/>
            <w:tcBorders>
              <w:tl2br w:val="nil"/>
              <w:tr2bl w:val="nil"/>
            </w:tcBorders>
            <w:shd w:val="clear" w:color="auto" w:fill="FFFFFF"/>
            <w:vAlign w:val="center"/>
          </w:tcPr>
          <w:p w14:paraId="5093BA7C" w14:textId="77777777" w:rsidR="00601AAC" w:rsidRDefault="0090397B">
            <w:pPr>
              <w:spacing w:after="0" w:line="240" w:lineRule="auto"/>
              <w:jc w:val="center"/>
              <w:rPr>
                <w:rFonts w:ascii="TH SarabunPSK" w:eastAsia="SimSun" w:hAnsi="TH SarabunPSK" w:cs="TH SarabunPSK"/>
                <w:color w:val="000000" w:themeColor="text1"/>
                <w:sz w:val="28"/>
                <w:szCs w:val="28"/>
                <w:lang w:eastAsia="zh-CN" w:bidi="ar"/>
              </w:rPr>
            </w:pPr>
            <w:r>
              <w:rPr>
                <w:rFonts w:ascii="TH SarabunPSK" w:eastAsia="SimSun" w:hAnsi="TH SarabunPSK" w:cs="TH SarabunPSK"/>
                <w:color w:val="000000" w:themeColor="text1"/>
                <w:sz w:val="28"/>
                <w:szCs w:val="28"/>
                <w:lang w:eastAsia="zh-CN" w:bidi="ar"/>
              </w:rPr>
              <w:t>0.466</w:t>
            </w:r>
          </w:p>
        </w:tc>
        <w:tc>
          <w:tcPr>
            <w:tcW w:w="918" w:type="pct"/>
            <w:tcBorders>
              <w:tl2br w:val="nil"/>
              <w:tr2bl w:val="nil"/>
            </w:tcBorders>
            <w:shd w:val="clear" w:color="auto" w:fill="FFFFFF"/>
            <w:vAlign w:val="center"/>
          </w:tcPr>
          <w:p w14:paraId="4E6618A3" w14:textId="77777777" w:rsidR="00601AAC" w:rsidRDefault="0090397B">
            <w:pPr>
              <w:spacing w:after="0" w:line="240" w:lineRule="auto"/>
              <w:jc w:val="center"/>
              <w:rPr>
                <w:rFonts w:ascii="TH SarabunPSK" w:eastAsia="SimSun" w:hAnsi="TH SarabunPSK" w:cs="TH SarabunPSK"/>
                <w:color w:val="000000" w:themeColor="text1"/>
                <w:sz w:val="28"/>
                <w:szCs w:val="28"/>
                <w:lang w:eastAsia="zh-CN" w:bidi="ar"/>
              </w:rPr>
            </w:pPr>
            <w:r>
              <w:rPr>
                <w:rFonts w:ascii="TH SarabunPSK" w:eastAsia="SimSun" w:hAnsi="TH SarabunPSK" w:cs="TH SarabunPSK"/>
                <w:color w:val="000000" w:themeColor="text1"/>
                <w:sz w:val="28"/>
                <w:szCs w:val="28"/>
                <w:lang w:eastAsia="zh-CN" w:bidi="ar"/>
              </w:rPr>
              <w:t>0.549</w:t>
            </w:r>
          </w:p>
        </w:tc>
        <w:tc>
          <w:tcPr>
            <w:tcW w:w="323" w:type="pct"/>
            <w:tcBorders>
              <w:tl2br w:val="nil"/>
              <w:tr2bl w:val="nil"/>
            </w:tcBorders>
            <w:shd w:val="clear" w:color="auto" w:fill="FFFFFF"/>
            <w:vAlign w:val="center"/>
          </w:tcPr>
          <w:p w14:paraId="3DCC0D24" w14:textId="77777777" w:rsidR="00601AAC" w:rsidRDefault="0090397B">
            <w:pPr>
              <w:spacing w:after="0" w:line="240" w:lineRule="auto"/>
              <w:jc w:val="center"/>
              <w:rPr>
                <w:rFonts w:ascii="TH SarabunPSK" w:eastAsia="SimSun" w:hAnsi="TH SarabunPSK" w:cs="TH SarabunPSK"/>
                <w:color w:val="000000" w:themeColor="text1"/>
                <w:sz w:val="28"/>
                <w:szCs w:val="28"/>
                <w:lang w:eastAsia="zh-CN" w:bidi="ar"/>
              </w:rPr>
            </w:pPr>
            <w:r>
              <w:rPr>
                <w:rFonts w:ascii="TH SarabunPSK" w:eastAsia="SimSun" w:hAnsi="TH SarabunPSK" w:cs="TH SarabunPSK"/>
                <w:color w:val="000000" w:themeColor="text1"/>
                <w:sz w:val="28"/>
                <w:szCs w:val="28"/>
                <w:lang w:eastAsia="zh-CN" w:bidi="ar"/>
              </w:rPr>
              <w:t>70.625</w:t>
            </w:r>
          </w:p>
        </w:tc>
        <w:tc>
          <w:tcPr>
            <w:tcW w:w="275" w:type="pct"/>
            <w:tcBorders>
              <w:tl2br w:val="nil"/>
              <w:tr2bl w:val="nil"/>
            </w:tcBorders>
            <w:shd w:val="clear" w:color="auto" w:fill="FFFFFF"/>
            <w:vAlign w:val="center"/>
          </w:tcPr>
          <w:p w14:paraId="5820F572" w14:textId="77777777" w:rsidR="00601AAC" w:rsidRDefault="0090397B">
            <w:pPr>
              <w:spacing w:after="0" w:line="240" w:lineRule="auto"/>
              <w:jc w:val="center"/>
              <w:rPr>
                <w:rFonts w:ascii="TH SarabunPSK" w:eastAsia="SimSun" w:hAnsi="TH SarabunPSK" w:cs="TH SarabunPSK"/>
                <w:color w:val="000000" w:themeColor="text1"/>
                <w:sz w:val="28"/>
                <w:szCs w:val="28"/>
                <w:lang w:eastAsia="zh-CN" w:bidi="ar"/>
              </w:rPr>
            </w:pPr>
            <w:r>
              <w:rPr>
                <w:rFonts w:ascii="TH SarabunPSK" w:eastAsia="SimSun" w:hAnsi="TH SarabunPSK" w:cs="TH SarabunPSK"/>
                <w:color w:val="000000" w:themeColor="text1"/>
                <w:sz w:val="28"/>
                <w:szCs w:val="28"/>
                <w:lang w:eastAsia="zh-CN" w:bidi="ar"/>
              </w:rPr>
              <w:t>0.000***</w:t>
            </w:r>
          </w:p>
        </w:tc>
        <w:tc>
          <w:tcPr>
            <w:tcW w:w="365" w:type="pct"/>
            <w:tcBorders>
              <w:tl2br w:val="nil"/>
              <w:tr2bl w:val="nil"/>
            </w:tcBorders>
            <w:shd w:val="clear" w:color="auto" w:fill="FFFFFF"/>
            <w:vAlign w:val="center"/>
          </w:tcPr>
          <w:p w14:paraId="0374E851" w14:textId="77777777" w:rsidR="00601AAC" w:rsidRDefault="00601AAC">
            <w:pPr>
              <w:spacing w:after="0" w:line="240" w:lineRule="auto"/>
              <w:jc w:val="center"/>
              <w:rPr>
                <w:rFonts w:ascii="TH SarabunPSK" w:eastAsia="SimSun" w:hAnsi="TH SarabunPSK" w:cs="TH SarabunPSK"/>
                <w:color w:val="000000" w:themeColor="text1"/>
                <w:sz w:val="28"/>
                <w:szCs w:val="28"/>
                <w:lang w:eastAsia="zh-CN" w:bidi="ar"/>
              </w:rPr>
            </w:pPr>
          </w:p>
        </w:tc>
        <w:tc>
          <w:tcPr>
            <w:tcW w:w="717" w:type="pct"/>
            <w:tcBorders>
              <w:tl2br w:val="nil"/>
              <w:tr2bl w:val="nil"/>
            </w:tcBorders>
            <w:shd w:val="clear" w:color="auto" w:fill="FFFFFF"/>
            <w:vAlign w:val="center"/>
          </w:tcPr>
          <w:p w14:paraId="37010CFF" w14:textId="77777777" w:rsidR="00601AAC" w:rsidRDefault="00601AAC">
            <w:pPr>
              <w:spacing w:after="0" w:line="240" w:lineRule="auto"/>
              <w:jc w:val="center"/>
              <w:rPr>
                <w:rFonts w:ascii="TH SarabunPSK" w:eastAsia="SimSun" w:hAnsi="TH SarabunPSK" w:cs="TH SarabunPSK"/>
                <w:color w:val="000000" w:themeColor="text1"/>
                <w:sz w:val="28"/>
                <w:szCs w:val="28"/>
                <w:lang w:eastAsia="zh-CN" w:bidi="ar"/>
              </w:rPr>
            </w:pPr>
          </w:p>
        </w:tc>
      </w:tr>
    </w:tbl>
    <w:p w14:paraId="77227F60" w14:textId="77777777" w:rsidR="00601AAC" w:rsidRDefault="0090397B">
      <w:pPr>
        <w:tabs>
          <w:tab w:val="left" w:pos="0"/>
        </w:tabs>
        <w:spacing w:line="240" w:lineRule="auto"/>
        <w:ind w:leftChars="-100" w:left="-220" w:firstLineChars="400" w:firstLine="1120"/>
        <w:jc w:val="both"/>
        <w:rPr>
          <w:rFonts w:ascii="TH SarabunPSK" w:eastAsia="Times New Roman" w:hAnsi="TH SarabunPSK" w:cs="TH SarabunPSK"/>
          <w:sz w:val="28"/>
          <w:szCs w:val="28"/>
        </w:rPr>
      </w:pPr>
      <w:r>
        <w:rPr>
          <w:rFonts w:ascii="TH SarabunPSK" w:hAnsi="TH SarabunPSK" w:cs="TH SarabunPSK"/>
          <w:sz w:val="28"/>
          <w:szCs w:val="28"/>
          <w:lang w:eastAsia="zh-CN"/>
        </w:rPr>
        <w:t>*p-value &lt;.05  **p-value&lt;.01  ***p-value &lt;.001</w:t>
      </w:r>
      <w:r>
        <w:rPr>
          <w:rFonts w:ascii="TH SarabunPSK" w:hAnsi="TH SarabunPSK" w:cs="TH SarabunPSK"/>
          <w:sz w:val="28"/>
          <w:szCs w:val="28"/>
          <w:lang w:eastAsia="zh-CN"/>
        </w:rPr>
        <w:br/>
        <w:t xml:space="preserve">          </w:t>
      </w:r>
      <w:r>
        <w:rPr>
          <w:rFonts w:ascii="TH SarabunPSK" w:eastAsia="Times New Roman" w:hAnsi="TH SarabunPSK" w:cs="TH SarabunPSK"/>
          <w:sz w:val="28"/>
          <w:szCs w:val="28"/>
        </w:rPr>
        <w:t xml:space="preserve">Multiple linear regression results show that Brand Recognition, Brand Recall, Brand Preference, Brand Insistence, and Emotional Attachment all have significant positive effects on </w:t>
      </w:r>
      <w:r>
        <w:rPr>
          <w:rFonts w:ascii="TH SarabunPSK" w:eastAsia="Times New Roman" w:hAnsi="TH SarabunPSK" w:cs="TH SarabunPSK"/>
          <w:sz w:val="28"/>
          <w:szCs w:val="28"/>
        </w:rPr>
        <w:t>purchase intention (p &lt; 0.001). The model explains 47.3% of the variance in purchase intention (R² = 0.473), and the overall regression is statistically significant (F = 70.625, p &lt; 0.001). Among all predictors, Emotional Attachment demonstrates the strong</w:t>
      </w:r>
      <w:r>
        <w:rPr>
          <w:rFonts w:ascii="TH SarabunPSK" w:eastAsia="Times New Roman" w:hAnsi="TH SarabunPSK" w:cs="TH SarabunPSK"/>
          <w:sz w:val="28"/>
          <w:szCs w:val="28"/>
        </w:rPr>
        <w:t>est influence, followed by Brand Recall, Brand Insistence, Brand Preference, and Brand Recognition. These findings confirm that emotional and cognitive aspects of brand loyalty jointly play important roles in shaping consumers’ online purchasing intentions</w:t>
      </w:r>
      <w:r>
        <w:rPr>
          <w:rFonts w:ascii="TH SarabunPSK" w:eastAsia="Times New Roman" w:hAnsi="TH SarabunPSK" w:cs="TH SarabunPSK"/>
          <w:sz w:val="28"/>
          <w:szCs w:val="28"/>
        </w:rPr>
        <w:t>.</w:t>
      </w:r>
    </w:p>
    <w:p w14:paraId="017D6DA8" w14:textId="77777777" w:rsidR="00601AAC" w:rsidRDefault="0090397B">
      <w:pPr>
        <w:spacing w:line="240" w:lineRule="auto"/>
        <w:rPr>
          <w:rFonts w:ascii="TH SarabunPSK" w:hAnsi="TH SarabunPSK" w:cs="TH SarabunPSK"/>
          <w:sz w:val="28"/>
          <w:szCs w:val="28"/>
        </w:rPr>
      </w:pPr>
      <w:r>
        <w:rPr>
          <w:rFonts w:ascii="TH SarabunPSK" w:hAnsi="TH SarabunPSK" w:cs="TH SarabunPSK"/>
          <w:b/>
          <w:bCs/>
          <w:spacing w:val="-1"/>
          <w:sz w:val="28"/>
          <w:szCs w:val="28"/>
        </w:rPr>
        <w:t xml:space="preserve">Table </w:t>
      </w:r>
      <w:r>
        <w:rPr>
          <w:rFonts w:ascii="TH SarabunPSK" w:hAnsi="TH SarabunPSK" w:cs="TH SarabunPSK" w:hint="eastAsia"/>
          <w:b/>
          <w:bCs/>
          <w:spacing w:val="-1"/>
          <w:sz w:val="28"/>
          <w:szCs w:val="28"/>
          <w:lang w:eastAsia="zh-CN"/>
        </w:rPr>
        <w:t>2</w:t>
      </w:r>
      <w:r>
        <w:rPr>
          <w:rFonts w:ascii="TH SarabunPSK" w:hAnsi="TH SarabunPSK" w:cs="TH SarabunPSK"/>
          <w:b/>
          <w:bCs/>
          <w:spacing w:val="-1"/>
          <w:sz w:val="28"/>
          <w:szCs w:val="28"/>
          <w:lang w:eastAsia="zh-CN"/>
        </w:rPr>
        <w:t xml:space="preserve"> </w:t>
      </w:r>
      <w:r>
        <w:rPr>
          <w:rFonts w:ascii="TH SarabunPSK" w:hAnsi="TH SarabunPSK" w:cs="TH SarabunPSK"/>
          <w:sz w:val="28"/>
          <w:szCs w:val="28"/>
          <w:lang w:eastAsia="zh-CN"/>
        </w:rPr>
        <w:t>Summary of hypothesis testing</w:t>
      </w:r>
    </w:p>
    <w:tbl>
      <w:tblPr>
        <w:tblStyle w:val="a9"/>
        <w:tblpPr w:leftFromText="180" w:rightFromText="180" w:vertAnchor="text" w:horzAnchor="page" w:tblpX="1737" w:tblpY="136"/>
        <w:tblOverlap w:val="never"/>
        <w:tblW w:w="4787" w:type="pct"/>
        <w:tblLayout w:type="fixed"/>
        <w:tblLook w:val="04A0" w:firstRow="1" w:lastRow="0" w:firstColumn="1" w:lastColumn="0" w:noHBand="0" w:noVBand="1"/>
      </w:tblPr>
      <w:tblGrid>
        <w:gridCol w:w="6660"/>
        <w:gridCol w:w="1530"/>
      </w:tblGrid>
      <w:tr w:rsidR="00601AAC" w14:paraId="1BF4CD3F" w14:textId="77777777">
        <w:tc>
          <w:tcPr>
            <w:tcW w:w="4066" w:type="pct"/>
            <w:tcBorders>
              <w:top w:val="double" w:sz="4" w:space="0" w:color="000000"/>
              <w:left w:val="nil"/>
              <w:bottom w:val="single" w:sz="4" w:space="0" w:color="000000"/>
              <w:right w:val="single" w:sz="4" w:space="0" w:color="000000"/>
            </w:tcBorders>
            <w:shd w:val="clear" w:color="auto" w:fill="FFFFFF"/>
            <w:vAlign w:val="center"/>
          </w:tcPr>
          <w:p w14:paraId="43E4692C" w14:textId="77777777" w:rsidR="00601AAC" w:rsidRDefault="0090397B">
            <w:pPr>
              <w:widowControl w:val="0"/>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 xml:space="preserve">Hypothesis </w:t>
            </w:r>
          </w:p>
        </w:tc>
        <w:tc>
          <w:tcPr>
            <w:tcW w:w="934" w:type="pct"/>
            <w:tcBorders>
              <w:top w:val="double" w:sz="4" w:space="0" w:color="000000"/>
              <w:left w:val="single" w:sz="4" w:space="0" w:color="000000"/>
              <w:bottom w:val="single" w:sz="4" w:space="0" w:color="000000"/>
              <w:right w:val="nil"/>
            </w:tcBorders>
            <w:shd w:val="clear" w:color="auto" w:fill="FFFFFF"/>
            <w:vAlign w:val="center"/>
          </w:tcPr>
          <w:p w14:paraId="2CA39E18" w14:textId="77777777" w:rsidR="00601AAC" w:rsidRDefault="0090397B">
            <w:pPr>
              <w:widowControl w:val="0"/>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Results</w:t>
            </w:r>
          </w:p>
        </w:tc>
      </w:tr>
      <w:tr w:rsidR="00601AAC" w14:paraId="6AFEDFC6" w14:textId="77777777">
        <w:tc>
          <w:tcPr>
            <w:tcW w:w="4066" w:type="pct"/>
            <w:tcBorders>
              <w:top w:val="single" w:sz="4" w:space="0" w:color="000000"/>
              <w:left w:val="nil"/>
              <w:bottom w:val="single" w:sz="4" w:space="0" w:color="000000"/>
              <w:right w:val="single" w:sz="4" w:space="0" w:color="000000"/>
            </w:tcBorders>
            <w:shd w:val="clear" w:color="auto" w:fill="FFFFFF"/>
            <w:vAlign w:val="center"/>
          </w:tcPr>
          <w:p w14:paraId="1972AB27" w14:textId="77777777" w:rsidR="00601AAC" w:rsidRDefault="0090397B">
            <w:pPr>
              <w:spacing w:after="0" w:line="240" w:lineRule="auto"/>
              <w:rPr>
                <w:rFonts w:ascii="TH SarabunPSK" w:hAnsi="TH SarabunPSK" w:cs="TH SarabunPSK"/>
                <w:sz w:val="28"/>
                <w:szCs w:val="28"/>
                <w:lang w:eastAsia="zh-CN"/>
              </w:rPr>
            </w:pPr>
            <w:r>
              <w:rPr>
                <w:rFonts w:ascii="TH SarabunPSK" w:hAnsi="TH SarabunPSK" w:cs="TH SarabunPSK"/>
                <w:sz w:val="28"/>
                <w:szCs w:val="28"/>
                <w:lang w:eastAsia="zh-CN"/>
              </w:rPr>
              <w:t>H1.1 "Brand Recognition" have a positive impact on Purchasing intention</w:t>
            </w:r>
          </w:p>
        </w:tc>
        <w:tc>
          <w:tcPr>
            <w:tcW w:w="934" w:type="pct"/>
            <w:tcBorders>
              <w:top w:val="single" w:sz="4" w:space="0" w:color="000000"/>
              <w:left w:val="single" w:sz="4" w:space="0" w:color="000000"/>
              <w:bottom w:val="single" w:sz="4" w:space="0" w:color="000000"/>
              <w:right w:val="nil"/>
            </w:tcBorders>
            <w:shd w:val="clear" w:color="auto" w:fill="FFFFFF"/>
            <w:vAlign w:val="center"/>
          </w:tcPr>
          <w:p w14:paraId="5F1CB2A9" w14:textId="77777777" w:rsidR="00601AAC" w:rsidRDefault="0090397B">
            <w:pPr>
              <w:widowControl w:val="0"/>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support</w:t>
            </w:r>
          </w:p>
        </w:tc>
      </w:tr>
      <w:tr w:rsidR="00601AAC" w14:paraId="33BE06E3" w14:textId="77777777">
        <w:tc>
          <w:tcPr>
            <w:tcW w:w="4066" w:type="pct"/>
            <w:tcBorders>
              <w:top w:val="single" w:sz="4" w:space="0" w:color="000000"/>
              <w:left w:val="nil"/>
              <w:bottom w:val="single" w:sz="4" w:space="0" w:color="000000"/>
              <w:right w:val="single" w:sz="4" w:space="0" w:color="000000"/>
            </w:tcBorders>
            <w:shd w:val="clear" w:color="auto" w:fill="FFFFFF"/>
            <w:vAlign w:val="center"/>
          </w:tcPr>
          <w:p w14:paraId="4EDB9BBA" w14:textId="77777777" w:rsidR="00601AAC" w:rsidRDefault="0090397B">
            <w:pPr>
              <w:spacing w:after="0" w:line="240" w:lineRule="auto"/>
              <w:rPr>
                <w:rFonts w:ascii="TH SarabunPSK" w:hAnsi="TH SarabunPSK" w:cs="TH SarabunPSK"/>
                <w:sz w:val="28"/>
                <w:szCs w:val="28"/>
                <w:lang w:eastAsia="zh-CN"/>
              </w:rPr>
            </w:pPr>
            <w:r>
              <w:rPr>
                <w:rFonts w:ascii="TH SarabunPSK" w:hAnsi="TH SarabunPSK" w:cs="TH SarabunPSK"/>
                <w:sz w:val="28"/>
                <w:szCs w:val="28"/>
                <w:lang w:eastAsia="zh-CN"/>
              </w:rPr>
              <w:t>H1.2 "Brand Recall" have a positive impact on Purchasing intention</w:t>
            </w:r>
          </w:p>
        </w:tc>
        <w:tc>
          <w:tcPr>
            <w:tcW w:w="934" w:type="pct"/>
            <w:tcBorders>
              <w:top w:val="single" w:sz="4" w:space="0" w:color="000000"/>
              <w:left w:val="single" w:sz="4" w:space="0" w:color="000000"/>
              <w:bottom w:val="single" w:sz="4" w:space="0" w:color="000000"/>
              <w:right w:val="nil"/>
            </w:tcBorders>
            <w:shd w:val="clear" w:color="auto" w:fill="FFFFFF"/>
            <w:vAlign w:val="center"/>
          </w:tcPr>
          <w:p w14:paraId="59F1FE84" w14:textId="77777777" w:rsidR="00601AAC" w:rsidRDefault="0090397B">
            <w:pPr>
              <w:widowControl w:val="0"/>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support</w:t>
            </w:r>
          </w:p>
        </w:tc>
      </w:tr>
      <w:tr w:rsidR="00601AAC" w14:paraId="1F005EB7" w14:textId="77777777">
        <w:tc>
          <w:tcPr>
            <w:tcW w:w="4066" w:type="pct"/>
            <w:tcBorders>
              <w:top w:val="single" w:sz="4" w:space="0" w:color="000000"/>
              <w:left w:val="nil"/>
              <w:bottom w:val="single" w:sz="4" w:space="0" w:color="000000"/>
              <w:right w:val="single" w:sz="4" w:space="0" w:color="000000"/>
            </w:tcBorders>
            <w:shd w:val="clear" w:color="auto" w:fill="FFFFFF"/>
            <w:vAlign w:val="center"/>
          </w:tcPr>
          <w:p w14:paraId="1C1B12C0" w14:textId="77777777" w:rsidR="00601AAC" w:rsidRDefault="0090397B">
            <w:pPr>
              <w:spacing w:after="0" w:line="240" w:lineRule="auto"/>
              <w:rPr>
                <w:rFonts w:ascii="TH SarabunPSK" w:hAnsi="TH SarabunPSK" w:cs="TH SarabunPSK"/>
                <w:sz w:val="28"/>
                <w:szCs w:val="28"/>
                <w:lang w:eastAsia="zh-CN"/>
              </w:rPr>
            </w:pPr>
            <w:r>
              <w:rPr>
                <w:rFonts w:ascii="TH SarabunPSK" w:hAnsi="TH SarabunPSK" w:cs="TH SarabunPSK"/>
                <w:sz w:val="28"/>
                <w:szCs w:val="28"/>
                <w:lang w:eastAsia="zh-CN"/>
              </w:rPr>
              <w:t xml:space="preserve">H1.3 "Brand Preference" have a </w:t>
            </w:r>
            <w:r>
              <w:rPr>
                <w:rFonts w:ascii="TH SarabunPSK" w:hAnsi="TH SarabunPSK" w:cs="TH SarabunPSK"/>
                <w:sz w:val="28"/>
                <w:szCs w:val="28"/>
                <w:lang w:eastAsia="zh-CN"/>
              </w:rPr>
              <w:t>positive impact on Purchasing intention</w:t>
            </w:r>
          </w:p>
        </w:tc>
        <w:tc>
          <w:tcPr>
            <w:tcW w:w="934" w:type="pct"/>
            <w:tcBorders>
              <w:top w:val="single" w:sz="4" w:space="0" w:color="000000"/>
              <w:left w:val="single" w:sz="4" w:space="0" w:color="000000"/>
              <w:bottom w:val="single" w:sz="4" w:space="0" w:color="000000"/>
              <w:right w:val="nil"/>
            </w:tcBorders>
            <w:shd w:val="clear" w:color="auto" w:fill="FFFFFF"/>
            <w:vAlign w:val="center"/>
          </w:tcPr>
          <w:p w14:paraId="55AB12E2" w14:textId="77777777" w:rsidR="00601AAC" w:rsidRDefault="0090397B">
            <w:pPr>
              <w:widowControl w:val="0"/>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support</w:t>
            </w:r>
          </w:p>
        </w:tc>
      </w:tr>
      <w:tr w:rsidR="00601AAC" w14:paraId="3CCE1B3F" w14:textId="77777777">
        <w:tc>
          <w:tcPr>
            <w:tcW w:w="4066" w:type="pct"/>
            <w:tcBorders>
              <w:top w:val="single" w:sz="4" w:space="0" w:color="000000"/>
              <w:left w:val="nil"/>
              <w:bottom w:val="single" w:sz="4" w:space="0" w:color="000000"/>
              <w:right w:val="single" w:sz="4" w:space="0" w:color="000000"/>
            </w:tcBorders>
            <w:shd w:val="clear" w:color="auto" w:fill="FFFFFF"/>
            <w:vAlign w:val="center"/>
          </w:tcPr>
          <w:p w14:paraId="6C3E5A8F" w14:textId="77777777" w:rsidR="00601AAC" w:rsidRDefault="0090397B">
            <w:pPr>
              <w:spacing w:after="0" w:line="240" w:lineRule="auto"/>
              <w:rPr>
                <w:rFonts w:ascii="TH SarabunPSK" w:hAnsi="TH SarabunPSK" w:cs="TH SarabunPSK"/>
                <w:sz w:val="28"/>
                <w:szCs w:val="28"/>
                <w:lang w:eastAsia="zh-CN"/>
              </w:rPr>
            </w:pPr>
            <w:r>
              <w:rPr>
                <w:rFonts w:ascii="TH SarabunPSK" w:hAnsi="TH SarabunPSK" w:cs="TH SarabunPSK"/>
                <w:sz w:val="28"/>
                <w:szCs w:val="28"/>
                <w:lang w:eastAsia="zh-CN"/>
              </w:rPr>
              <w:t>H1.4 "Brand Insistence" have a positive impact on Purchasing intention</w:t>
            </w:r>
          </w:p>
        </w:tc>
        <w:tc>
          <w:tcPr>
            <w:tcW w:w="934" w:type="pct"/>
            <w:tcBorders>
              <w:top w:val="single" w:sz="4" w:space="0" w:color="000000"/>
              <w:left w:val="single" w:sz="4" w:space="0" w:color="000000"/>
              <w:bottom w:val="single" w:sz="4" w:space="0" w:color="000000"/>
              <w:right w:val="nil"/>
            </w:tcBorders>
            <w:shd w:val="clear" w:color="auto" w:fill="FFFFFF"/>
            <w:vAlign w:val="center"/>
          </w:tcPr>
          <w:p w14:paraId="2F25161D" w14:textId="77777777" w:rsidR="00601AAC" w:rsidRDefault="0090397B">
            <w:pPr>
              <w:widowControl w:val="0"/>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support</w:t>
            </w:r>
          </w:p>
        </w:tc>
      </w:tr>
      <w:tr w:rsidR="00601AAC" w14:paraId="590ED44B" w14:textId="77777777">
        <w:tc>
          <w:tcPr>
            <w:tcW w:w="4066" w:type="pct"/>
            <w:tcBorders>
              <w:top w:val="single" w:sz="4" w:space="0" w:color="000000"/>
              <w:left w:val="nil"/>
              <w:bottom w:val="double" w:sz="4" w:space="0" w:color="000000"/>
              <w:right w:val="single" w:sz="4" w:space="0" w:color="000000"/>
            </w:tcBorders>
            <w:shd w:val="clear" w:color="auto" w:fill="FFFFFF"/>
            <w:vAlign w:val="center"/>
          </w:tcPr>
          <w:p w14:paraId="49F80904" w14:textId="77777777" w:rsidR="00601AAC" w:rsidRDefault="0090397B">
            <w:pPr>
              <w:spacing w:after="0" w:line="240" w:lineRule="auto"/>
              <w:rPr>
                <w:rFonts w:ascii="TH SarabunPSK" w:hAnsi="TH SarabunPSK" w:cs="TH SarabunPSK"/>
                <w:sz w:val="28"/>
                <w:szCs w:val="28"/>
                <w:lang w:eastAsia="zh-CN"/>
              </w:rPr>
            </w:pPr>
            <w:r>
              <w:rPr>
                <w:rFonts w:ascii="TH SarabunPSK" w:hAnsi="TH SarabunPSK" w:cs="TH SarabunPSK"/>
                <w:sz w:val="28"/>
                <w:szCs w:val="28"/>
                <w:lang w:eastAsia="zh-CN"/>
              </w:rPr>
              <w:t>H1.5"Emotional Attachment" have a positive impact on Purchasing intention</w:t>
            </w:r>
          </w:p>
        </w:tc>
        <w:tc>
          <w:tcPr>
            <w:tcW w:w="934" w:type="pct"/>
            <w:tcBorders>
              <w:top w:val="single" w:sz="4" w:space="0" w:color="000000"/>
              <w:left w:val="single" w:sz="4" w:space="0" w:color="000000"/>
              <w:bottom w:val="double" w:sz="4" w:space="0" w:color="000000"/>
              <w:right w:val="nil"/>
            </w:tcBorders>
            <w:shd w:val="clear" w:color="auto" w:fill="FFFFFF"/>
            <w:vAlign w:val="center"/>
          </w:tcPr>
          <w:p w14:paraId="4B7EC315" w14:textId="77777777" w:rsidR="00601AAC" w:rsidRDefault="0090397B">
            <w:pPr>
              <w:widowControl w:val="0"/>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support</w:t>
            </w:r>
          </w:p>
        </w:tc>
      </w:tr>
    </w:tbl>
    <w:p w14:paraId="28F32F05" w14:textId="77777777" w:rsidR="00601AAC" w:rsidRDefault="00601AAC">
      <w:pPr>
        <w:spacing w:after="0" w:line="240" w:lineRule="auto"/>
        <w:rPr>
          <w:rFonts w:ascii="TH SarabunPSK" w:hAnsi="TH SarabunPSK" w:cs="TH SarabunPSK"/>
          <w:sz w:val="28"/>
          <w:szCs w:val="28"/>
        </w:rPr>
      </w:pPr>
    </w:p>
    <w:p w14:paraId="145F8A44" w14:textId="77777777" w:rsidR="00601AAC" w:rsidRDefault="0090397B">
      <w:pPr>
        <w:pStyle w:val="af"/>
        <w:tabs>
          <w:tab w:val="left" w:pos="-220"/>
        </w:tabs>
        <w:spacing w:after="0" w:line="240" w:lineRule="auto"/>
        <w:ind w:leftChars="-100" w:left="-220" w:rightChars="-211" w:right="-464" w:firstLineChars="200" w:firstLine="560"/>
        <w:jc w:val="both"/>
        <w:rPr>
          <w:rFonts w:ascii="SimSun" w:eastAsia="SimSun" w:hAnsi="SimSun" w:cs="SimSun"/>
          <w:sz w:val="24"/>
          <w:szCs w:val="24"/>
        </w:rPr>
      </w:pPr>
      <w:r>
        <w:rPr>
          <w:rFonts w:ascii="TH SarabunPSK" w:hAnsi="TH SarabunPSK" w:cs="TH SarabunPSK"/>
          <w:sz w:val="28"/>
        </w:rPr>
        <w:t xml:space="preserve">This study validates Aaker’s brand loyalty framework in </w:t>
      </w:r>
      <w:proofErr w:type="spellStart"/>
      <w:r>
        <w:rPr>
          <w:rFonts w:ascii="TH SarabunPSK" w:hAnsi="TH SarabunPSK" w:cs="TH SarabunPSK"/>
          <w:sz w:val="28"/>
        </w:rPr>
        <w:t>Tianqiao</w:t>
      </w:r>
      <w:proofErr w:type="spellEnd"/>
      <w:r>
        <w:rPr>
          <w:rFonts w:ascii="TH SarabunPSK" w:hAnsi="TH SarabunPSK" w:cs="TH SarabunPSK"/>
          <w:sz w:val="28"/>
        </w:rPr>
        <w:t xml:space="preserve"> District, revealing that brand recall and brand preference are the strongest predictors of online purchase intention. However, brand insistence and emotional attachment remain weak, suggestin</w:t>
      </w:r>
      <w:r>
        <w:rPr>
          <w:rFonts w:ascii="TH SarabunPSK" w:hAnsi="TH SarabunPSK" w:cs="TH SarabunPSK"/>
          <w:sz w:val="28"/>
        </w:rPr>
        <w:t>g that consumers are easily swayed by price competition and lack deep emotional bonds with platforms. Overall, brand loyalty is at a moderate level, highlighting the need for e-commerce platforms to enhance emotional branding, personalization, and communit</w:t>
      </w:r>
      <w:r>
        <w:rPr>
          <w:rFonts w:ascii="TH SarabunPSK" w:hAnsi="TH SarabunPSK" w:cs="TH SarabunPSK"/>
          <w:sz w:val="28"/>
        </w:rPr>
        <w:t>y engagement to promote higher-order loyalty</w:t>
      </w:r>
      <w:r>
        <w:rPr>
          <w:rFonts w:ascii="SimSun" w:eastAsia="SimSun" w:hAnsi="SimSun" w:cs="SimSun"/>
          <w:sz w:val="24"/>
          <w:szCs w:val="24"/>
        </w:rPr>
        <w:t>.</w:t>
      </w:r>
    </w:p>
    <w:p w14:paraId="30481611" w14:textId="77777777" w:rsidR="00601AAC" w:rsidRDefault="00601AAC">
      <w:pPr>
        <w:pStyle w:val="af"/>
        <w:tabs>
          <w:tab w:val="left" w:pos="-220"/>
        </w:tabs>
        <w:spacing w:after="0" w:line="240" w:lineRule="auto"/>
        <w:ind w:leftChars="-100" w:left="-220" w:rightChars="-211" w:right="-464"/>
        <w:jc w:val="both"/>
        <w:rPr>
          <w:rFonts w:ascii="TH SarabunPSK" w:hAnsi="TH SarabunPSK" w:cs="TH SarabunPSK"/>
          <w:b/>
          <w:sz w:val="32"/>
          <w:szCs w:val="32"/>
        </w:rPr>
      </w:pPr>
    </w:p>
    <w:p w14:paraId="588348F7" w14:textId="77777777" w:rsidR="00601AAC" w:rsidRDefault="0090397B">
      <w:pPr>
        <w:pStyle w:val="af"/>
        <w:tabs>
          <w:tab w:val="left" w:pos="-220"/>
        </w:tabs>
        <w:spacing w:after="0" w:line="240" w:lineRule="auto"/>
        <w:ind w:leftChars="-100" w:left="-220" w:rightChars="-211" w:right="-464"/>
        <w:jc w:val="both"/>
        <w:rPr>
          <w:rFonts w:ascii="TH SarabunPSK" w:hAnsi="TH SarabunPSK" w:cs="TH SarabunPSK"/>
          <w:b/>
          <w:sz w:val="32"/>
          <w:szCs w:val="32"/>
        </w:rPr>
      </w:pPr>
      <w:r>
        <w:rPr>
          <w:rFonts w:ascii="TH SarabunPSK" w:hAnsi="TH SarabunPSK" w:cs="TH SarabunPSK"/>
          <w:b/>
          <w:sz w:val="32"/>
          <w:szCs w:val="32"/>
        </w:rPr>
        <w:t>Discussion</w:t>
      </w:r>
      <w:r>
        <w:rPr>
          <w:rFonts w:ascii="TH SarabunPSK" w:hAnsi="TH SarabunPSK" w:cs="TH SarabunPSK"/>
          <w:b/>
          <w:sz w:val="32"/>
          <w:szCs w:val="32"/>
          <w:lang w:eastAsia="zh-CN"/>
        </w:rPr>
        <w:t xml:space="preserve"> and conclusion</w:t>
      </w:r>
    </w:p>
    <w:p w14:paraId="3F930DD0" w14:textId="77777777" w:rsidR="00601AAC" w:rsidRDefault="0090397B">
      <w:pPr>
        <w:pStyle w:val="af"/>
        <w:tabs>
          <w:tab w:val="left" w:pos="-220"/>
        </w:tabs>
        <w:spacing w:after="0" w:line="240" w:lineRule="auto"/>
        <w:ind w:leftChars="-100" w:left="-220" w:rightChars="-211" w:right="-464" w:firstLine="720"/>
        <w:jc w:val="both"/>
        <w:rPr>
          <w:rFonts w:ascii="TH SarabunPSK" w:hAnsi="TH SarabunPSK" w:cs="TH SarabunPSK"/>
          <w:sz w:val="28"/>
        </w:rPr>
      </w:pPr>
      <w:r>
        <w:rPr>
          <w:rFonts w:ascii="TH SarabunPSK" w:hAnsi="TH SarabunPSK" w:cs="TH SarabunPSK"/>
          <w:sz w:val="28"/>
        </w:rPr>
        <w:t xml:space="preserve">This study examines consumers in </w:t>
      </w:r>
      <w:proofErr w:type="spellStart"/>
      <w:r>
        <w:rPr>
          <w:rFonts w:ascii="TH SarabunPSK" w:hAnsi="TH SarabunPSK" w:cs="TH SarabunPSK"/>
          <w:sz w:val="28"/>
        </w:rPr>
        <w:t>Tianqiao</w:t>
      </w:r>
      <w:proofErr w:type="spellEnd"/>
      <w:r>
        <w:rPr>
          <w:rFonts w:ascii="TH SarabunPSK" w:hAnsi="TH SarabunPSK" w:cs="TH SarabunPSK"/>
          <w:sz w:val="28"/>
        </w:rPr>
        <w:t xml:space="preserve"> District, Jinan, to explore the impact of brand loyalty on online purchase intention in a digital commerce context. Based on Aaker’s (1991) brand loyalty framework and 408 valid questionnaires, the results confirm a significant positive relationship betwe</w:t>
      </w:r>
      <w:r>
        <w:rPr>
          <w:rFonts w:ascii="TH SarabunPSK" w:hAnsi="TH SarabunPSK" w:cs="TH SarabunPSK"/>
          <w:sz w:val="28"/>
        </w:rPr>
        <w:t>en brand loyalty and purchase intention, with brand recall and brand preference showing the strongest effects, while brand commitment and emotional attachment remain relatively weak. These findings indicate that although consumers recognize and prefer cert</w:t>
      </w:r>
      <w:r>
        <w:rPr>
          <w:rFonts w:ascii="TH SarabunPSK" w:hAnsi="TH SarabunPSK" w:cs="TH SarabunPSK"/>
          <w:sz w:val="28"/>
        </w:rPr>
        <w:t xml:space="preserve">ain platforms, deep emotional bonds and long-term commitment are still limited. The study contributes to brand loyalty theory in e-commerce settings and suggests that platforms should enhance emotional engagement and personalized interaction to strengthen </w:t>
      </w:r>
      <w:r>
        <w:rPr>
          <w:rFonts w:ascii="TH SarabunPSK" w:hAnsi="TH SarabunPSK" w:cs="TH SarabunPSK"/>
          <w:sz w:val="28"/>
        </w:rPr>
        <w:t>customer retention.</w:t>
      </w:r>
    </w:p>
    <w:p w14:paraId="0785B57D" w14:textId="77777777" w:rsidR="00601AAC" w:rsidRDefault="00601AAC">
      <w:pPr>
        <w:pStyle w:val="af"/>
        <w:tabs>
          <w:tab w:val="left" w:pos="-220"/>
        </w:tabs>
        <w:spacing w:after="0" w:line="240" w:lineRule="auto"/>
        <w:ind w:leftChars="-100" w:left="-204" w:rightChars="-211" w:right="-464" w:hangingChars="5" w:hanging="16"/>
        <w:jc w:val="both"/>
        <w:rPr>
          <w:rFonts w:ascii="TH SarabunPSK" w:hAnsi="TH SarabunPSK" w:cs="TH SarabunPSK"/>
          <w:b/>
          <w:bCs/>
          <w:sz w:val="32"/>
          <w:szCs w:val="32"/>
          <w:lang w:eastAsia="zh-CN"/>
        </w:rPr>
      </w:pPr>
    </w:p>
    <w:p w14:paraId="2F90367B" w14:textId="77777777" w:rsidR="00601AAC" w:rsidRDefault="0090397B">
      <w:pPr>
        <w:pStyle w:val="af"/>
        <w:tabs>
          <w:tab w:val="left" w:pos="-220"/>
        </w:tabs>
        <w:spacing w:after="0" w:line="240" w:lineRule="auto"/>
        <w:ind w:leftChars="-100" w:left="-204" w:rightChars="-211" w:right="-464" w:hangingChars="5" w:hanging="16"/>
        <w:jc w:val="both"/>
        <w:rPr>
          <w:rFonts w:ascii="TH SarabunPSK" w:hAnsi="TH SarabunPSK" w:cs="TH SarabunPSK"/>
          <w:b/>
          <w:bCs/>
          <w:sz w:val="32"/>
          <w:szCs w:val="32"/>
          <w:lang w:eastAsia="zh-CN"/>
        </w:rPr>
      </w:pPr>
      <w:proofErr w:type="spellStart"/>
      <w:r>
        <w:rPr>
          <w:rFonts w:ascii="TH SarabunPSK" w:hAnsi="TH SarabunPSK" w:cs="TH SarabunPSK"/>
          <w:b/>
          <w:bCs/>
          <w:sz w:val="32"/>
          <w:szCs w:val="32"/>
          <w:lang w:eastAsia="zh-CN"/>
        </w:rPr>
        <w:t>Recomendation</w:t>
      </w:r>
      <w:proofErr w:type="spellEnd"/>
    </w:p>
    <w:p w14:paraId="4A86DDC1" w14:textId="77777777" w:rsidR="00601AAC" w:rsidRDefault="0090397B">
      <w:pPr>
        <w:pStyle w:val="af"/>
        <w:tabs>
          <w:tab w:val="left" w:pos="-220"/>
        </w:tabs>
        <w:spacing w:after="0" w:line="240" w:lineRule="auto"/>
        <w:ind w:leftChars="-100" w:left="-220" w:rightChars="-211" w:right="-464" w:firstLine="720"/>
        <w:jc w:val="both"/>
        <w:rPr>
          <w:rFonts w:ascii="TH SarabunPSK" w:hAnsi="TH SarabunPSK" w:cs="TH SarabunPSK"/>
          <w:sz w:val="28"/>
          <w:lang w:eastAsia="zh-CN"/>
        </w:rPr>
      </w:pPr>
      <w:r>
        <w:rPr>
          <w:rFonts w:ascii="TH SarabunPSK" w:hAnsi="TH SarabunPSK" w:cs="TH SarabunPSK"/>
          <w:spacing w:val="-6"/>
          <w:sz w:val="28"/>
        </w:rPr>
        <w:t>To enhance brand recognition, p</w:t>
      </w:r>
      <w:r>
        <w:rPr>
          <w:rFonts w:ascii="TH SarabunPSK" w:hAnsi="TH SarabunPSK" w:cs="TH SarabunPSK"/>
          <w:sz w:val="28"/>
        </w:rPr>
        <w:t>latforms should maintain a consistent visual identity across all touchpoints, including logos, colors, typography, and brand voice. Increasing brand exposure through digital channels such as social media, advertising, and app notifications can further stre</w:t>
      </w:r>
      <w:r>
        <w:rPr>
          <w:rFonts w:ascii="TH SarabunPSK" w:hAnsi="TH SarabunPSK" w:cs="TH SarabunPSK"/>
          <w:sz w:val="28"/>
        </w:rPr>
        <w:t xml:space="preserve">ngthen consumer recall. </w:t>
      </w:r>
      <w:r>
        <w:rPr>
          <w:rFonts w:ascii="TH SarabunPSK" w:hAnsi="TH SarabunPSK" w:cs="TH SarabunPSK"/>
          <w:spacing w:val="-6"/>
          <w:sz w:val="28"/>
        </w:rPr>
        <w:t>As noted by Keller (</w:t>
      </w:r>
      <w:r>
        <w:rPr>
          <w:rFonts w:ascii="TH SarabunPSK" w:hAnsi="TH SarabunPSK" w:cs="TH SarabunPSK"/>
          <w:sz w:val="28"/>
        </w:rPr>
        <w:t>2003), repeated brand exposure improves memory encoding and facilitates brand retrieval during purchase decisions.</w:t>
      </w:r>
    </w:p>
    <w:p w14:paraId="32F6237C" w14:textId="77777777" w:rsidR="00601AAC" w:rsidRDefault="0090397B">
      <w:pPr>
        <w:spacing w:before="240" w:after="0" w:line="240" w:lineRule="auto"/>
        <w:ind w:leftChars="-100" w:left="-204" w:rightChars="-211" w:right="-464" w:hangingChars="5" w:hanging="16"/>
        <w:jc w:val="both"/>
        <w:rPr>
          <w:rFonts w:ascii="TH SarabunPSK" w:hAnsi="TH SarabunPSK" w:cs="TH SarabunPSK"/>
          <w:b/>
          <w:bCs/>
          <w:color w:val="FF0000"/>
          <w:sz w:val="32"/>
          <w:szCs w:val="32"/>
        </w:rPr>
      </w:pPr>
      <w:r>
        <w:rPr>
          <w:rFonts w:ascii="TH SarabunPSK" w:hAnsi="TH SarabunPSK" w:cs="TH SarabunPSK"/>
          <w:b/>
          <w:bCs/>
          <w:sz w:val="32"/>
          <w:szCs w:val="32"/>
        </w:rPr>
        <w:t xml:space="preserve">References </w:t>
      </w:r>
    </w:p>
    <w:p w14:paraId="27BC14E1" w14:textId="77777777" w:rsidR="00601AAC" w:rsidRDefault="0090397B">
      <w:pPr>
        <w:pStyle w:val="a8"/>
        <w:spacing w:line="240" w:lineRule="auto"/>
        <w:ind w:firstLineChars="235" w:firstLine="658"/>
        <w:rPr>
          <w:rFonts w:ascii="TH SarabunPSK" w:hAnsi="TH SarabunPSK" w:cs="TH SarabunPSK"/>
          <w:sz w:val="28"/>
          <w:szCs w:val="28"/>
          <w:lang w:eastAsia="en-US"/>
        </w:rPr>
      </w:pPr>
      <w:r>
        <w:rPr>
          <w:rFonts w:ascii="TH SarabunPSK" w:hAnsi="TH SarabunPSK" w:cs="TH SarabunPSK"/>
          <w:sz w:val="28"/>
          <w:szCs w:val="28"/>
          <w:lang w:eastAsia="en-US"/>
        </w:rPr>
        <w:t>Aaker, D. A. (1991). Managing brand equity: Capitalizing on the value of a brand name</w:t>
      </w:r>
      <w:r>
        <w:rPr>
          <w:rFonts w:ascii="TH SarabunPSK" w:hAnsi="TH SarabunPSK" w:cs="TH SarabunPSK"/>
          <w:sz w:val="28"/>
          <w:szCs w:val="28"/>
          <w:lang w:eastAsia="en-US"/>
        </w:rPr>
        <w:t>. Free Press.</w:t>
      </w:r>
    </w:p>
    <w:p w14:paraId="7579C47E" w14:textId="77777777" w:rsidR="00601AAC" w:rsidRDefault="0090397B">
      <w:pPr>
        <w:pStyle w:val="a8"/>
        <w:spacing w:line="240" w:lineRule="auto"/>
        <w:ind w:firstLineChars="235" w:firstLine="658"/>
        <w:rPr>
          <w:rFonts w:ascii="TH SarabunPSK" w:hAnsi="TH SarabunPSK" w:cs="TH SarabunPSK"/>
          <w:sz w:val="28"/>
          <w:szCs w:val="28"/>
          <w:lang w:eastAsia="en-US"/>
        </w:rPr>
      </w:pPr>
      <w:r>
        <w:rPr>
          <w:rFonts w:ascii="TH SarabunPSK" w:hAnsi="TH SarabunPSK" w:cs="TH SarabunPSK"/>
          <w:sz w:val="28"/>
          <w:szCs w:val="28"/>
          <w:lang w:eastAsia="en-US"/>
        </w:rPr>
        <w:t xml:space="preserve">Azzari, D., &amp; </w:t>
      </w:r>
      <w:proofErr w:type="spellStart"/>
      <w:r>
        <w:rPr>
          <w:rFonts w:ascii="TH SarabunPSK" w:hAnsi="TH SarabunPSK" w:cs="TH SarabunPSK"/>
          <w:sz w:val="28"/>
          <w:szCs w:val="28"/>
          <w:lang w:eastAsia="en-US"/>
        </w:rPr>
        <w:t>Pelissari</w:t>
      </w:r>
      <w:proofErr w:type="spellEnd"/>
      <w:r>
        <w:rPr>
          <w:rFonts w:ascii="TH SarabunPSK" w:hAnsi="TH SarabunPSK" w:cs="TH SarabunPSK"/>
          <w:sz w:val="28"/>
          <w:szCs w:val="28"/>
          <w:lang w:eastAsia="en-US"/>
        </w:rPr>
        <w:t>, R. (2020). Brand awareness and purchase intention. International Journal of Applied Finance and Business Studies, 13(1), 112–120.</w:t>
      </w:r>
    </w:p>
    <w:p w14:paraId="5B73FDEC" w14:textId="77777777" w:rsidR="00601AAC" w:rsidRDefault="0090397B">
      <w:pPr>
        <w:pStyle w:val="a8"/>
        <w:spacing w:line="240" w:lineRule="auto"/>
        <w:ind w:firstLineChars="235" w:firstLine="658"/>
        <w:rPr>
          <w:rFonts w:ascii="TH SarabunPSK" w:hAnsi="TH SarabunPSK" w:cs="TH SarabunPSK"/>
          <w:sz w:val="28"/>
          <w:szCs w:val="28"/>
          <w:lang w:eastAsia="en-US"/>
        </w:rPr>
      </w:pPr>
      <w:r>
        <w:rPr>
          <w:rFonts w:ascii="TH SarabunPSK" w:hAnsi="TH SarabunPSK" w:cs="TH SarabunPSK"/>
          <w:sz w:val="28"/>
          <w:szCs w:val="28"/>
          <w:lang w:eastAsia="en-US"/>
        </w:rPr>
        <w:t xml:space="preserve">Balakrishnan, B. K. P. D., </w:t>
      </w:r>
      <w:proofErr w:type="spellStart"/>
      <w:r>
        <w:rPr>
          <w:rFonts w:ascii="TH SarabunPSK" w:hAnsi="TH SarabunPSK" w:cs="TH SarabunPSK"/>
          <w:sz w:val="28"/>
          <w:szCs w:val="28"/>
          <w:lang w:eastAsia="en-US"/>
        </w:rPr>
        <w:t>Dahnil</w:t>
      </w:r>
      <w:proofErr w:type="spellEnd"/>
      <w:r>
        <w:rPr>
          <w:rFonts w:ascii="TH SarabunPSK" w:hAnsi="TH SarabunPSK" w:cs="TH SarabunPSK"/>
          <w:sz w:val="28"/>
          <w:szCs w:val="28"/>
          <w:lang w:eastAsia="en-US"/>
        </w:rPr>
        <w:t xml:space="preserve">, M. I., &amp; Yi, W. J. (2014). The impact of brand </w:t>
      </w:r>
      <w:r>
        <w:rPr>
          <w:rFonts w:ascii="TH SarabunPSK" w:hAnsi="TH SarabunPSK" w:cs="TH SarabunPSK"/>
          <w:sz w:val="28"/>
          <w:szCs w:val="28"/>
          <w:lang w:eastAsia="en-US"/>
        </w:rPr>
        <w:t>loyalty on purchase intention and repurchase behavior. Journal of Business and Retail Management Research, 13(4).</w:t>
      </w:r>
    </w:p>
    <w:p w14:paraId="0BE13329" w14:textId="77777777" w:rsidR="00601AAC" w:rsidRDefault="0090397B">
      <w:pPr>
        <w:pStyle w:val="a8"/>
        <w:spacing w:line="240" w:lineRule="auto"/>
        <w:ind w:firstLineChars="235" w:firstLine="658"/>
        <w:rPr>
          <w:rFonts w:ascii="TH SarabunPSK" w:hAnsi="TH SarabunPSK" w:cs="TH SarabunPSK"/>
          <w:sz w:val="28"/>
          <w:szCs w:val="28"/>
          <w:lang w:eastAsia="en-US"/>
        </w:rPr>
      </w:pPr>
      <w:r>
        <w:rPr>
          <w:rFonts w:ascii="TH SarabunPSK" w:hAnsi="TH SarabunPSK" w:cs="TH SarabunPSK"/>
          <w:sz w:val="28"/>
          <w:szCs w:val="28"/>
          <w:lang w:eastAsia="en-US"/>
        </w:rPr>
        <w:t>Chaudhuri, A., &amp; Holbrook, M. B. (2001). The chain of effects from brand trust and brand affect to brand performance: The role of brand loyalt</w:t>
      </w:r>
      <w:r>
        <w:rPr>
          <w:rFonts w:ascii="TH SarabunPSK" w:hAnsi="TH SarabunPSK" w:cs="TH SarabunPSK"/>
          <w:sz w:val="28"/>
          <w:szCs w:val="28"/>
          <w:lang w:eastAsia="en-US"/>
        </w:rPr>
        <w:t xml:space="preserve">y. Journal of Marketing, 65(2), 81–93. </w:t>
      </w:r>
      <w:hyperlink r:id="rId9" w:tgtFrame="_new" w:history="1">
        <w:r>
          <w:rPr>
            <w:rFonts w:ascii="TH SarabunPSK" w:hAnsi="TH SarabunPSK" w:cs="TH SarabunPSK"/>
            <w:sz w:val="28"/>
            <w:szCs w:val="28"/>
            <w:lang w:eastAsia="en-US"/>
          </w:rPr>
          <w:t>https://doi.org/10.1509/jmkg.65.2.81.18255</w:t>
        </w:r>
      </w:hyperlink>
    </w:p>
    <w:p w14:paraId="59745900" w14:textId="77777777" w:rsidR="00601AAC" w:rsidRDefault="0090397B">
      <w:pPr>
        <w:pStyle w:val="a8"/>
        <w:spacing w:line="240" w:lineRule="auto"/>
        <w:ind w:firstLineChars="235" w:firstLine="658"/>
        <w:rPr>
          <w:rFonts w:ascii="TH SarabunPSK" w:hAnsi="TH SarabunPSK" w:cs="TH SarabunPSK"/>
          <w:sz w:val="28"/>
          <w:szCs w:val="28"/>
          <w:lang w:eastAsia="en-US"/>
        </w:rPr>
      </w:pPr>
      <w:r>
        <w:rPr>
          <w:rFonts w:ascii="TH SarabunPSK" w:hAnsi="TH SarabunPSK" w:cs="TH SarabunPSK"/>
          <w:sz w:val="28"/>
          <w:szCs w:val="28"/>
          <w:lang w:eastAsia="en-US"/>
        </w:rPr>
        <w:t xml:space="preserve">CSPI Ratings. (2025). CSPI Ratings assigns Jinan </w:t>
      </w:r>
      <w:proofErr w:type="spellStart"/>
      <w:r>
        <w:rPr>
          <w:rFonts w:ascii="TH SarabunPSK" w:hAnsi="TH SarabunPSK" w:cs="TH SarabunPSK"/>
          <w:sz w:val="28"/>
          <w:szCs w:val="28"/>
          <w:lang w:eastAsia="en-US"/>
        </w:rPr>
        <w:t>Tianqiao</w:t>
      </w:r>
      <w:proofErr w:type="spellEnd"/>
      <w:r>
        <w:rPr>
          <w:rFonts w:ascii="TH SarabunPSK" w:hAnsi="TH SarabunPSK" w:cs="TH SarabunPSK"/>
          <w:sz w:val="28"/>
          <w:szCs w:val="28"/>
          <w:lang w:eastAsia="en-US"/>
        </w:rPr>
        <w:t xml:space="preserve"> Urban Renewal and Development Group Co., Ltd. i</w:t>
      </w:r>
      <w:r>
        <w:rPr>
          <w:rFonts w:ascii="TH SarabunPSK" w:hAnsi="TH SarabunPSK" w:cs="TH SarabunPSK"/>
          <w:sz w:val="28"/>
          <w:szCs w:val="28"/>
          <w:lang w:eastAsia="en-US"/>
        </w:rPr>
        <w:t>ssuer credit rating of “BBB+”; Outlook stable.</w:t>
      </w:r>
    </w:p>
    <w:p w14:paraId="5F873C2D" w14:textId="77777777" w:rsidR="00601AAC" w:rsidRDefault="0090397B">
      <w:pPr>
        <w:pStyle w:val="a8"/>
        <w:spacing w:line="240" w:lineRule="auto"/>
        <w:ind w:firstLineChars="235" w:firstLine="658"/>
        <w:rPr>
          <w:rFonts w:ascii="TH SarabunPSK" w:hAnsi="TH SarabunPSK" w:cs="TH SarabunPSK"/>
          <w:sz w:val="28"/>
          <w:szCs w:val="28"/>
          <w:lang w:eastAsia="en-US"/>
        </w:rPr>
      </w:pPr>
      <w:r>
        <w:rPr>
          <w:rFonts w:ascii="TH SarabunPSK" w:hAnsi="TH SarabunPSK" w:cs="TH SarabunPSK"/>
          <w:sz w:val="28"/>
          <w:szCs w:val="28"/>
          <w:lang w:eastAsia="en-US"/>
        </w:rPr>
        <w:t xml:space="preserve">English Jinan Government. (2025, February 8). </w:t>
      </w:r>
      <w:proofErr w:type="spellStart"/>
      <w:r>
        <w:rPr>
          <w:rFonts w:ascii="TH SarabunPSK" w:hAnsi="TH SarabunPSK" w:cs="TH SarabunPSK"/>
          <w:sz w:val="28"/>
          <w:szCs w:val="28"/>
          <w:lang w:eastAsia="en-US"/>
        </w:rPr>
        <w:t>Tianqiao</w:t>
      </w:r>
      <w:proofErr w:type="spellEnd"/>
      <w:r>
        <w:rPr>
          <w:rFonts w:ascii="TH SarabunPSK" w:hAnsi="TH SarabunPSK" w:cs="TH SarabunPSK"/>
          <w:sz w:val="28"/>
          <w:szCs w:val="28"/>
          <w:lang w:eastAsia="en-US"/>
        </w:rPr>
        <w:t xml:space="preserve"> District overview.</w:t>
      </w:r>
    </w:p>
    <w:p w14:paraId="621C68C1" w14:textId="77777777" w:rsidR="00601AAC" w:rsidRDefault="0090397B">
      <w:pPr>
        <w:pStyle w:val="a8"/>
        <w:spacing w:line="240" w:lineRule="auto"/>
        <w:ind w:firstLineChars="235" w:firstLine="658"/>
        <w:rPr>
          <w:rFonts w:ascii="TH SarabunPSK" w:hAnsi="TH SarabunPSK" w:cs="TH SarabunPSK"/>
          <w:sz w:val="28"/>
          <w:szCs w:val="28"/>
          <w:lang w:eastAsia="en-US"/>
        </w:rPr>
      </w:pPr>
      <w:r>
        <w:rPr>
          <w:rFonts w:ascii="TH SarabunPSK" w:hAnsi="TH SarabunPSK" w:cs="TH SarabunPSK"/>
          <w:sz w:val="28"/>
          <w:szCs w:val="28"/>
          <w:lang w:eastAsia="en-US"/>
        </w:rPr>
        <w:t>Fishbein, M., &amp; Ajzen, I. (1975). Belief, attitude, intention, and behavior: An introduction to theory and research. Addison-Wesley.</w:t>
      </w:r>
    </w:p>
    <w:p w14:paraId="76EBAF38" w14:textId="77777777" w:rsidR="00601AAC" w:rsidRDefault="0090397B">
      <w:pPr>
        <w:pStyle w:val="a8"/>
        <w:spacing w:line="240" w:lineRule="auto"/>
        <w:ind w:firstLineChars="235" w:firstLine="658"/>
        <w:rPr>
          <w:rFonts w:ascii="TH SarabunPSK" w:hAnsi="TH SarabunPSK" w:cs="TH SarabunPSK"/>
          <w:sz w:val="28"/>
          <w:szCs w:val="28"/>
          <w:lang w:eastAsia="en-US"/>
        </w:rPr>
      </w:pPr>
      <w:proofErr w:type="spellStart"/>
      <w:r>
        <w:rPr>
          <w:rFonts w:ascii="TH SarabunPSK" w:hAnsi="TH SarabunPSK" w:cs="TH SarabunPSK"/>
          <w:sz w:val="28"/>
          <w:szCs w:val="28"/>
          <w:lang w:eastAsia="en-US"/>
        </w:rPr>
        <w:t>Fo</w:t>
      </w:r>
      <w:r>
        <w:rPr>
          <w:rFonts w:ascii="TH SarabunPSK" w:hAnsi="TH SarabunPSK" w:cs="TH SarabunPSK"/>
          <w:sz w:val="28"/>
          <w:szCs w:val="28"/>
          <w:lang w:eastAsia="en-US"/>
        </w:rPr>
        <w:t>roudi</w:t>
      </w:r>
      <w:proofErr w:type="spellEnd"/>
      <w:r>
        <w:rPr>
          <w:rFonts w:ascii="TH SarabunPSK" w:hAnsi="TH SarabunPSK" w:cs="TH SarabunPSK"/>
          <w:sz w:val="28"/>
          <w:szCs w:val="28"/>
          <w:lang w:eastAsia="en-US"/>
        </w:rPr>
        <w:t>, P., et al. (2018). Customer satisfaction and brand loyalty: Mediating roles in brand loyalty outcomes. Journal of Business Research, 9(1).</w:t>
      </w:r>
    </w:p>
    <w:p w14:paraId="4AADE1E4" w14:textId="77777777" w:rsidR="00601AAC" w:rsidRDefault="0090397B">
      <w:pPr>
        <w:pStyle w:val="a8"/>
        <w:spacing w:line="240" w:lineRule="auto"/>
        <w:ind w:firstLineChars="235" w:firstLine="658"/>
        <w:rPr>
          <w:rFonts w:ascii="TH SarabunPSK" w:hAnsi="TH SarabunPSK" w:cs="TH SarabunPSK"/>
          <w:sz w:val="28"/>
          <w:szCs w:val="28"/>
          <w:lang w:eastAsia="en-US"/>
        </w:rPr>
      </w:pPr>
      <w:r>
        <w:rPr>
          <w:rFonts w:ascii="TH SarabunPSK" w:hAnsi="TH SarabunPSK" w:cs="TH SarabunPSK"/>
          <w:sz w:val="28"/>
          <w:szCs w:val="28"/>
          <w:lang w:eastAsia="en-US"/>
        </w:rPr>
        <w:t>Kim, H. B., &amp; Kim, W. G. (2005). The relationship between brand equity and firms’ performance in luxury hotels</w:t>
      </w:r>
      <w:r>
        <w:rPr>
          <w:rFonts w:ascii="TH SarabunPSK" w:hAnsi="TH SarabunPSK" w:cs="TH SarabunPSK"/>
          <w:sz w:val="28"/>
          <w:szCs w:val="28"/>
          <w:lang w:eastAsia="en-US"/>
        </w:rPr>
        <w:t xml:space="preserve"> and chain restaurants. Tourism Management, 26(4), 549–560. </w:t>
      </w:r>
      <w:hyperlink r:id="rId10" w:tgtFrame="_new" w:history="1">
        <w:r>
          <w:rPr>
            <w:rFonts w:ascii="TH SarabunPSK" w:hAnsi="TH SarabunPSK" w:cs="TH SarabunPSK"/>
            <w:sz w:val="28"/>
            <w:szCs w:val="28"/>
            <w:lang w:eastAsia="en-US"/>
          </w:rPr>
          <w:t>https://doi.org/10.1016/j.tourman.2004.03.010</w:t>
        </w:r>
      </w:hyperlink>
    </w:p>
    <w:p w14:paraId="0BBFCD0F" w14:textId="77777777" w:rsidR="00601AAC" w:rsidRDefault="0090397B">
      <w:pPr>
        <w:pStyle w:val="a8"/>
        <w:spacing w:line="240" w:lineRule="auto"/>
        <w:ind w:firstLineChars="235" w:firstLine="658"/>
        <w:rPr>
          <w:rFonts w:ascii="TH SarabunPSK" w:hAnsi="TH SarabunPSK" w:cs="TH SarabunPSK"/>
          <w:sz w:val="28"/>
          <w:szCs w:val="28"/>
          <w:lang w:eastAsia="en-US"/>
        </w:rPr>
      </w:pPr>
      <w:r>
        <w:rPr>
          <w:rFonts w:ascii="TH SarabunPSK" w:hAnsi="TH SarabunPSK" w:cs="TH SarabunPSK"/>
          <w:sz w:val="28"/>
          <w:szCs w:val="28"/>
          <w:lang w:eastAsia="en-US"/>
        </w:rPr>
        <w:t>Oliver, R. L. (1999). Whence consumer loyalty? Journal of Marketing, 63(Specia</w:t>
      </w:r>
      <w:r>
        <w:rPr>
          <w:rFonts w:ascii="TH SarabunPSK" w:hAnsi="TH SarabunPSK" w:cs="TH SarabunPSK"/>
          <w:sz w:val="28"/>
          <w:szCs w:val="28"/>
          <w:lang w:eastAsia="en-US"/>
        </w:rPr>
        <w:t xml:space="preserve">l Issue), 33–44. </w:t>
      </w:r>
      <w:hyperlink r:id="rId11" w:tgtFrame="_new" w:history="1">
        <w:r>
          <w:rPr>
            <w:rFonts w:ascii="TH SarabunPSK" w:hAnsi="TH SarabunPSK" w:cs="TH SarabunPSK"/>
            <w:sz w:val="28"/>
            <w:szCs w:val="28"/>
            <w:lang w:eastAsia="en-US"/>
          </w:rPr>
          <w:t>https://doi.org/10.1177/00222429990634s105</w:t>
        </w:r>
      </w:hyperlink>
    </w:p>
    <w:p w14:paraId="582A7B22" w14:textId="77777777" w:rsidR="00601AAC" w:rsidRDefault="0090397B">
      <w:pPr>
        <w:pStyle w:val="a8"/>
        <w:spacing w:line="240" w:lineRule="auto"/>
        <w:ind w:firstLineChars="235" w:firstLine="658"/>
        <w:rPr>
          <w:rFonts w:ascii="TH SarabunPSK" w:hAnsi="TH SarabunPSK" w:cs="TH SarabunPSK"/>
          <w:sz w:val="28"/>
          <w:szCs w:val="28"/>
          <w:lang w:eastAsia="en-US"/>
        </w:rPr>
      </w:pPr>
      <w:proofErr w:type="spellStart"/>
      <w:r>
        <w:rPr>
          <w:rFonts w:ascii="TH SarabunPSK" w:hAnsi="TH SarabunPSK" w:cs="TH SarabunPSK"/>
          <w:sz w:val="28"/>
          <w:szCs w:val="28"/>
          <w:lang w:eastAsia="en-US"/>
        </w:rPr>
        <w:t>Porral</w:t>
      </w:r>
      <w:proofErr w:type="spellEnd"/>
      <w:r>
        <w:rPr>
          <w:rFonts w:ascii="TH SarabunPSK" w:hAnsi="TH SarabunPSK" w:cs="TH SarabunPSK"/>
          <w:sz w:val="28"/>
          <w:szCs w:val="28"/>
          <w:lang w:eastAsia="en-US"/>
        </w:rPr>
        <w:t>, C. C., et al. (2015). Brand loyalty and purchase intention.</w:t>
      </w:r>
    </w:p>
    <w:p w14:paraId="70C2BA84" w14:textId="77777777" w:rsidR="00601AAC" w:rsidRDefault="0090397B">
      <w:pPr>
        <w:pStyle w:val="a8"/>
        <w:spacing w:line="240" w:lineRule="auto"/>
        <w:ind w:firstLineChars="235" w:firstLine="658"/>
        <w:rPr>
          <w:rFonts w:ascii="TH SarabunPSK" w:hAnsi="TH SarabunPSK" w:cs="TH SarabunPSK"/>
          <w:sz w:val="28"/>
          <w:szCs w:val="28"/>
          <w:lang w:eastAsia="en-US"/>
        </w:rPr>
      </w:pPr>
      <w:proofErr w:type="spellStart"/>
      <w:r>
        <w:rPr>
          <w:rFonts w:ascii="TH SarabunPSK" w:hAnsi="TH SarabunPSK" w:cs="TH SarabunPSK"/>
          <w:sz w:val="28"/>
          <w:szCs w:val="28"/>
          <w:lang w:eastAsia="en-US"/>
        </w:rPr>
        <w:t>Ranjbariyan</w:t>
      </w:r>
      <w:proofErr w:type="spellEnd"/>
      <w:r>
        <w:rPr>
          <w:rFonts w:ascii="TH SarabunPSK" w:hAnsi="TH SarabunPSK" w:cs="TH SarabunPSK"/>
          <w:sz w:val="28"/>
          <w:szCs w:val="28"/>
          <w:lang w:eastAsia="en-US"/>
        </w:rPr>
        <w:t>, B., Shahin, A., &amp; Jafari, F. (2012). Brand awa</w:t>
      </w:r>
      <w:r>
        <w:rPr>
          <w:rFonts w:ascii="TH SarabunPSK" w:hAnsi="TH SarabunPSK" w:cs="TH SarabunPSK"/>
          <w:sz w:val="28"/>
          <w:szCs w:val="28"/>
          <w:lang w:eastAsia="en-US"/>
        </w:rPr>
        <w:t>reness and loyalty.</w:t>
      </w:r>
    </w:p>
    <w:p w14:paraId="797A3AC2" w14:textId="77777777" w:rsidR="00601AAC" w:rsidRDefault="0090397B">
      <w:pPr>
        <w:pStyle w:val="a8"/>
        <w:spacing w:line="240" w:lineRule="auto"/>
        <w:ind w:firstLineChars="235" w:firstLine="658"/>
        <w:rPr>
          <w:rFonts w:ascii="TH SarabunPSK" w:hAnsi="TH SarabunPSK" w:cs="TH SarabunPSK"/>
          <w:sz w:val="28"/>
          <w:szCs w:val="28"/>
          <w:lang w:eastAsia="en-US"/>
        </w:rPr>
      </w:pPr>
      <w:proofErr w:type="spellStart"/>
      <w:r>
        <w:rPr>
          <w:rFonts w:ascii="TH SarabunPSK" w:hAnsi="TH SarabunPSK" w:cs="TH SarabunPSK"/>
          <w:sz w:val="28"/>
          <w:szCs w:val="28"/>
          <w:lang w:eastAsia="en-US"/>
        </w:rPr>
        <w:t>Sarıipek</w:t>
      </w:r>
      <w:proofErr w:type="spellEnd"/>
      <w:r>
        <w:rPr>
          <w:rFonts w:ascii="TH SarabunPSK" w:hAnsi="TH SarabunPSK" w:cs="TH SarabunPSK"/>
          <w:sz w:val="28"/>
          <w:szCs w:val="28"/>
          <w:lang w:eastAsia="en-US"/>
        </w:rPr>
        <w:t xml:space="preserve">, T. (2023). Relationship between brand awareness levels, brand loyalty </w:t>
      </w:r>
      <w:proofErr w:type="spellStart"/>
      <w:r>
        <w:rPr>
          <w:rFonts w:ascii="TH SarabunPSK" w:hAnsi="TH SarabunPSK" w:cs="TH SarabunPSK"/>
          <w:sz w:val="28"/>
          <w:szCs w:val="28"/>
          <w:lang w:eastAsia="en-US"/>
        </w:rPr>
        <w:t>behaviours</w:t>
      </w:r>
      <w:proofErr w:type="spellEnd"/>
      <w:r>
        <w:rPr>
          <w:rFonts w:ascii="TH SarabunPSK" w:hAnsi="TH SarabunPSK" w:cs="TH SarabunPSK"/>
          <w:sz w:val="28"/>
          <w:szCs w:val="28"/>
          <w:lang w:eastAsia="en-US"/>
        </w:rPr>
        <w:t>, and brand function perceptions. Journal of Education and Recreation Patterns, 4(2), 431–446.</w:t>
      </w:r>
    </w:p>
    <w:p w14:paraId="612D1864" w14:textId="77777777" w:rsidR="00601AAC" w:rsidRDefault="00601AAC">
      <w:pPr>
        <w:pStyle w:val="a8"/>
        <w:spacing w:line="240" w:lineRule="auto"/>
        <w:ind w:leftChars="-100" w:left="421" w:rightChars="-211" w:right="-464" w:hangingChars="234" w:hanging="641"/>
        <w:jc w:val="both"/>
        <w:rPr>
          <w:rFonts w:ascii="TH SarabunPSK" w:hAnsi="TH SarabunPSK" w:cs="TH SarabunPSK"/>
          <w:spacing w:val="-6"/>
          <w:sz w:val="28"/>
          <w:szCs w:val="28"/>
          <w:lang w:bidi="ar"/>
        </w:rPr>
      </w:pPr>
    </w:p>
    <w:sectPr w:rsidR="00601AAC">
      <w:pgSz w:w="12240" w:h="15840"/>
      <w:pgMar w:top="1701" w:right="1701" w:bottom="1985"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46E274" w14:textId="77777777" w:rsidR="0090397B" w:rsidRDefault="0090397B">
      <w:pPr>
        <w:spacing w:line="240" w:lineRule="auto"/>
      </w:pPr>
      <w:r>
        <w:separator/>
      </w:r>
    </w:p>
  </w:endnote>
  <w:endnote w:type="continuationSeparator" w:id="0">
    <w:p w14:paraId="33CAC2DE" w14:textId="77777777" w:rsidR="0090397B" w:rsidRDefault="009039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H SarabunPSK">
    <w:altName w:val="Segoe UI Symbol"/>
    <w:panose1 w:val="020B0500040200020003"/>
    <w:charset w:val="00"/>
    <w:family w:val="swiss"/>
    <w:pitch w:val="variable"/>
    <w:sig w:usb0="A100006F" w:usb1="5000205A" w:usb2="00000000" w:usb3="00000000" w:csb0="0001018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30B619" w14:textId="77777777" w:rsidR="0090397B" w:rsidRDefault="0090397B">
      <w:pPr>
        <w:spacing w:after="0"/>
      </w:pPr>
      <w:r>
        <w:separator/>
      </w:r>
    </w:p>
  </w:footnote>
  <w:footnote w:type="continuationSeparator" w:id="0">
    <w:p w14:paraId="40134EA6" w14:textId="77777777" w:rsidR="0090397B" w:rsidRDefault="0090397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noPunctuationKerning/>
  <w:characterSpacingControl w:val="doNotCompres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83B"/>
    <w:rsid w:val="00082F22"/>
    <w:rsid w:val="000833E0"/>
    <w:rsid w:val="000D3ACC"/>
    <w:rsid w:val="00203252"/>
    <w:rsid w:val="00212ACB"/>
    <w:rsid w:val="00216128"/>
    <w:rsid w:val="00216A3B"/>
    <w:rsid w:val="0025048B"/>
    <w:rsid w:val="00297938"/>
    <w:rsid w:val="002D3596"/>
    <w:rsid w:val="0038704D"/>
    <w:rsid w:val="003910D1"/>
    <w:rsid w:val="00394225"/>
    <w:rsid w:val="003A43DD"/>
    <w:rsid w:val="003C0A69"/>
    <w:rsid w:val="003C39FF"/>
    <w:rsid w:val="003C417F"/>
    <w:rsid w:val="003D3C39"/>
    <w:rsid w:val="00411D3B"/>
    <w:rsid w:val="00423ADB"/>
    <w:rsid w:val="0043360C"/>
    <w:rsid w:val="00463DF7"/>
    <w:rsid w:val="00464620"/>
    <w:rsid w:val="004649B8"/>
    <w:rsid w:val="00491C34"/>
    <w:rsid w:val="004950D8"/>
    <w:rsid w:val="00495C07"/>
    <w:rsid w:val="00504CC8"/>
    <w:rsid w:val="00525DD6"/>
    <w:rsid w:val="00551E4F"/>
    <w:rsid w:val="00565B07"/>
    <w:rsid w:val="00586FC7"/>
    <w:rsid w:val="005A3B2B"/>
    <w:rsid w:val="005B1190"/>
    <w:rsid w:val="005B432D"/>
    <w:rsid w:val="005B7ABC"/>
    <w:rsid w:val="005C05B6"/>
    <w:rsid w:val="00601AAC"/>
    <w:rsid w:val="00640EE5"/>
    <w:rsid w:val="006B6F1A"/>
    <w:rsid w:val="006D4F28"/>
    <w:rsid w:val="007265EE"/>
    <w:rsid w:val="007346F5"/>
    <w:rsid w:val="00752D39"/>
    <w:rsid w:val="00774256"/>
    <w:rsid w:val="00793CAA"/>
    <w:rsid w:val="007F14B6"/>
    <w:rsid w:val="008347EA"/>
    <w:rsid w:val="00843E4C"/>
    <w:rsid w:val="008C5C85"/>
    <w:rsid w:val="0090397B"/>
    <w:rsid w:val="00914860"/>
    <w:rsid w:val="00933C9E"/>
    <w:rsid w:val="00955A0A"/>
    <w:rsid w:val="00981A86"/>
    <w:rsid w:val="00982795"/>
    <w:rsid w:val="009A5914"/>
    <w:rsid w:val="00A33867"/>
    <w:rsid w:val="00A441DA"/>
    <w:rsid w:val="00A55A71"/>
    <w:rsid w:val="00A62F85"/>
    <w:rsid w:val="00A7193F"/>
    <w:rsid w:val="00AA46A0"/>
    <w:rsid w:val="00AC317E"/>
    <w:rsid w:val="00AC6A9D"/>
    <w:rsid w:val="00B140FB"/>
    <w:rsid w:val="00B239F2"/>
    <w:rsid w:val="00B83490"/>
    <w:rsid w:val="00B97E4B"/>
    <w:rsid w:val="00BA1EF7"/>
    <w:rsid w:val="00BA4E0C"/>
    <w:rsid w:val="00BB03B4"/>
    <w:rsid w:val="00BD312F"/>
    <w:rsid w:val="00BE0DF5"/>
    <w:rsid w:val="00BE16A9"/>
    <w:rsid w:val="00BE2AA8"/>
    <w:rsid w:val="00BE4EED"/>
    <w:rsid w:val="00BF4803"/>
    <w:rsid w:val="00C228B3"/>
    <w:rsid w:val="00C83D4A"/>
    <w:rsid w:val="00C84454"/>
    <w:rsid w:val="00CA3018"/>
    <w:rsid w:val="00CB2B71"/>
    <w:rsid w:val="00CF4FB4"/>
    <w:rsid w:val="00CF5564"/>
    <w:rsid w:val="00D03C05"/>
    <w:rsid w:val="00D0630D"/>
    <w:rsid w:val="00D173B6"/>
    <w:rsid w:val="00D2391B"/>
    <w:rsid w:val="00D23EC1"/>
    <w:rsid w:val="00D25E1B"/>
    <w:rsid w:val="00D438F4"/>
    <w:rsid w:val="00D552A3"/>
    <w:rsid w:val="00D6427B"/>
    <w:rsid w:val="00D9528A"/>
    <w:rsid w:val="00D9631A"/>
    <w:rsid w:val="00DB13C8"/>
    <w:rsid w:val="00DC083B"/>
    <w:rsid w:val="00DD3D04"/>
    <w:rsid w:val="00DE2014"/>
    <w:rsid w:val="00E202D4"/>
    <w:rsid w:val="00E24BAF"/>
    <w:rsid w:val="00E37992"/>
    <w:rsid w:val="00E4560C"/>
    <w:rsid w:val="00E56CD6"/>
    <w:rsid w:val="00E60D38"/>
    <w:rsid w:val="00E76E25"/>
    <w:rsid w:val="00E93EC3"/>
    <w:rsid w:val="00F46AE5"/>
    <w:rsid w:val="00F862FB"/>
    <w:rsid w:val="00F92EEA"/>
    <w:rsid w:val="00FB34B9"/>
    <w:rsid w:val="0259024A"/>
    <w:rsid w:val="061B2F96"/>
    <w:rsid w:val="085D0896"/>
    <w:rsid w:val="09B71227"/>
    <w:rsid w:val="0A913826"/>
    <w:rsid w:val="0B633415"/>
    <w:rsid w:val="0C234D7A"/>
    <w:rsid w:val="185B5474"/>
    <w:rsid w:val="1CBE3199"/>
    <w:rsid w:val="1EA01E32"/>
    <w:rsid w:val="23B87C1E"/>
    <w:rsid w:val="28997368"/>
    <w:rsid w:val="2A691C72"/>
    <w:rsid w:val="2C972AC7"/>
    <w:rsid w:val="2F0A68FF"/>
    <w:rsid w:val="336F6BC3"/>
    <w:rsid w:val="344A2B14"/>
    <w:rsid w:val="374675C3"/>
    <w:rsid w:val="3F6820A1"/>
    <w:rsid w:val="3FDD7446"/>
    <w:rsid w:val="40FB5175"/>
    <w:rsid w:val="42B06238"/>
    <w:rsid w:val="43CA332A"/>
    <w:rsid w:val="449C4CC6"/>
    <w:rsid w:val="47EB3D8E"/>
    <w:rsid w:val="4CDB2104"/>
    <w:rsid w:val="5023004A"/>
    <w:rsid w:val="53647C4A"/>
    <w:rsid w:val="53CE1567"/>
    <w:rsid w:val="556233C2"/>
    <w:rsid w:val="588B533C"/>
    <w:rsid w:val="5C3B496D"/>
    <w:rsid w:val="61E33ADD"/>
    <w:rsid w:val="62127F1E"/>
    <w:rsid w:val="6562740E"/>
    <w:rsid w:val="67332E10"/>
    <w:rsid w:val="68CA77A4"/>
    <w:rsid w:val="6A634377"/>
    <w:rsid w:val="71B44CEE"/>
    <w:rsid w:val="732E23F9"/>
    <w:rsid w:val="78DE6954"/>
    <w:rsid w:val="7A2A45B4"/>
    <w:rsid w:val="7A344A7E"/>
    <w:rsid w:val="7E2B619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6A022EB"/>
  <w15:docId w15:val="{3992853A-F126-4BE9-8A2E-9BDCCD5F2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EastAsia" w:hAnsiTheme="minorHAnsi" w:cstheme="minorBidi"/>
      <w:sz w:val="22"/>
      <w:szCs w:val="22"/>
    </w:rPr>
  </w:style>
  <w:style w:type="paragraph" w:styleId="2">
    <w:name w:val="heading 2"/>
    <w:basedOn w:val="a"/>
    <w:link w:val="20"/>
    <w:uiPriority w:val="9"/>
    <w:unhideWhenUsed/>
    <w:qFormat/>
    <w:pPr>
      <w:keepNext/>
      <w:keepLines/>
      <w:spacing w:before="200" w:after="0"/>
      <w:outlineLvl w:val="1"/>
    </w:pPr>
    <w:rPr>
      <w:rFonts w:asciiTheme="majorHAnsi" w:eastAsiaTheme="majorEastAsia" w:hAnsiTheme="majorHAnsi" w:cstheme="majorBidi"/>
      <w:b/>
      <w:bCs/>
      <w:color w:val="000000" w:themeColor="text1"/>
      <w:sz w:val="30"/>
      <w:szCs w:val="30"/>
    </w:rPr>
  </w:style>
  <w:style w:type="paragraph" w:styleId="3">
    <w:name w:val="heading 3"/>
    <w:basedOn w:val="a"/>
    <w:unhideWhenUsed/>
    <w:qFormat/>
    <w:pPr>
      <w:spacing w:beforeAutospacing="1" w:after="0" w:afterAutospacing="1"/>
      <w:outlineLvl w:val="2"/>
    </w:pPr>
    <w:rPr>
      <w:rFonts w:ascii="SimSun" w:eastAsia="SimSun" w:hAnsi="SimSun" w:cs="Angsana New" w:hint="eastAsia"/>
      <w:b/>
      <w:bCs/>
      <w:sz w:val="27"/>
      <w:szCs w:val="27"/>
      <w:lang w:eastAsia="zh-CN"/>
    </w:rPr>
  </w:style>
  <w:style w:type="paragraph" w:styleId="4">
    <w:name w:val="heading 4"/>
    <w:basedOn w:val="a"/>
    <w:next w:val="a"/>
    <w:uiPriority w:val="9"/>
    <w:semiHidden/>
    <w:unhideWhenUsed/>
    <w:qFormat/>
    <w:pPr>
      <w:keepNext/>
      <w:keepLines/>
      <w:spacing w:before="80" w:after="40"/>
      <w:outlineLvl w:val="3"/>
    </w:pPr>
    <w:rPr>
      <w:rFonts w:eastAsiaTheme="majorEastAsia"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rFonts w:ascii="Times New Roman" w:eastAsia="Times New Roman" w:hAnsi="Times New Roman" w:cs="Times New Roman"/>
      <w:szCs w:val="28"/>
    </w:rPr>
  </w:style>
  <w:style w:type="paragraph" w:styleId="a4">
    <w:name w:val="Balloon Text"/>
    <w:basedOn w:val="a"/>
    <w:link w:val="a5"/>
    <w:uiPriority w:val="99"/>
    <w:semiHidden/>
    <w:unhideWhenUsed/>
    <w:qFormat/>
    <w:pPr>
      <w:spacing w:after="0" w:line="240" w:lineRule="auto"/>
    </w:pPr>
    <w:rPr>
      <w:rFonts w:ascii="Segoe UI" w:hAnsi="Segoe UI" w:cs="Angsana New"/>
      <w:sz w:val="18"/>
    </w:rPr>
  </w:style>
  <w:style w:type="paragraph" w:styleId="a6">
    <w:name w:val="footer"/>
    <w:basedOn w:val="a"/>
    <w:uiPriority w:val="99"/>
    <w:unhideWhenUsed/>
    <w:qFormat/>
    <w:pPr>
      <w:tabs>
        <w:tab w:val="center" w:pos="4513"/>
        <w:tab w:val="right" w:pos="9026"/>
      </w:tabs>
      <w:spacing w:after="0" w:line="240" w:lineRule="auto"/>
    </w:pPr>
  </w:style>
  <w:style w:type="paragraph" w:styleId="a7">
    <w:name w:val="header"/>
    <w:basedOn w:val="a"/>
    <w:uiPriority w:val="99"/>
    <w:unhideWhenUsed/>
    <w:qFormat/>
    <w:pPr>
      <w:tabs>
        <w:tab w:val="center" w:pos="4513"/>
        <w:tab w:val="right" w:pos="9026"/>
      </w:tabs>
      <w:spacing w:after="0" w:line="240" w:lineRule="auto"/>
    </w:pPr>
  </w:style>
  <w:style w:type="paragraph" w:styleId="a8">
    <w:name w:val="Normal (Web)"/>
    <w:basedOn w:val="a"/>
    <w:qFormat/>
    <w:pPr>
      <w:spacing w:beforeAutospacing="1" w:after="0" w:afterAutospacing="1"/>
    </w:pPr>
    <w:rPr>
      <w:rFonts w:cs="Angsana New"/>
      <w:lang w:eastAsia="zh-CN"/>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rPr>
  </w:style>
  <w:style w:type="character" w:styleId="ab">
    <w:name w:val="FollowedHyperlink"/>
    <w:basedOn w:val="a0"/>
    <w:uiPriority w:val="99"/>
    <w:semiHidden/>
    <w:unhideWhenUsed/>
    <w:qFormat/>
    <w:rPr>
      <w:color w:val="954F72" w:themeColor="followedHyperlink"/>
      <w:u w:val="single"/>
    </w:rPr>
  </w:style>
  <w:style w:type="character" w:styleId="ac">
    <w:name w:val="Emphasis"/>
    <w:basedOn w:val="a0"/>
    <w:uiPriority w:val="20"/>
    <w:qFormat/>
    <w:rPr>
      <w:i/>
    </w:rPr>
  </w:style>
  <w:style w:type="character" w:styleId="ad">
    <w:name w:val="Hyperlink"/>
    <w:basedOn w:val="a0"/>
    <w:uiPriority w:val="99"/>
    <w:unhideWhenUsed/>
    <w:qFormat/>
    <w:rPr>
      <w:color w:val="0563C1" w:themeColor="hyperlink"/>
      <w:u w:val="single"/>
    </w:rPr>
  </w:style>
  <w:style w:type="character" w:styleId="ae">
    <w:name w:val="footnote reference"/>
    <w:basedOn w:val="a0"/>
    <w:uiPriority w:val="99"/>
    <w:semiHidden/>
    <w:unhideWhenUsed/>
    <w:qFormat/>
    <w:rPr>
      <w:sz w:val="32"/>
      <w:szCs w:val="32"/>
      <w:vertAlign w:val="superscript"/>
    </w:rPr>
  </w:style>
  <w:style w:type="paragraph" w:styleId="af">
    <w:name w:val="List Paragraph"/>
    <w:basedOn w:val="a"/>
    <w:uiPriority w:val="34"/>
    <w:qFormat/>
    <w:pPr>
      <w:ind w:left="720"/>
      <w:contextualSpacing/>
    </w:pPr>
    <w:rPr>
      <w:szCs w:val="28"/>
    </w:rPr>
  </w:style>
  <w:style w:type="character" w:customStyle="1" w:styleId="1">
    <w:name w:val="การอ้างถึงที่ไม่ได้แก้ไข1"/>
    <w:basedOn w:val="a0"/>
    <w:uiPriority w:val="99"/>
    <w:semiHidden/>
    <w:unhideWhenUsed/>
    <w:qFormat/>
    <w:rPr>
      <w:color w:val="605E5C"/>
      <w:shd w:val="clear" w:color="auto" w:fill="E1DFDD"/>
    </w:rPr>
  </w:style>
  <w:style w:type="character" w:customStyle="1" w:styleId="a5">
    <w:name w:val="ข้อความบอลลูน อักขระ"/>
    <w:basedOn w:val="a0"/>
    <w:link w:val="a4"/>
    <w:uiPriority w:val="99"/>
    <w:semiHidden/>
    <w:qFormat/>
    <w:rPr>
      <w:rFonts w:ascii="Segoe UI" w:eastAsiaTheme="minorEastAsia" w:hAnsi="Segoe UI" w:cs="Angsana New"/>
      <w:sz w:val="18"/>
      <w:szCs w:val="22"/>
    </w:rPr>
  </w:style>
  <w:style w:type="paragraph" w:customStyle="1" w:styleId="TableText">
    <w:name w:val="Table Text"/>
    <w:basedOn w:val="a"/>
    <w:semiHidden/>
    <w:qFormat/>
    <w:rPr>
      <w:rFonts w:ascii="Times New Roman" w:eastAsia="Times New Roman" w:hAnsi="Times New Roman" w:cs="Times New Roman"/>
    </w:rPr>
  </w:style>
  <w:style w:type="character" w:customStyle="1" w:styleId="20">
    <w:name w:val="หัวเรื่อง 2 อักขระ"/>
    <w:link w:val="2"/>
    <w:qFormat/>
    <w:rPr>
      <w:rFonts w:asciiTheme="majorHAnsi" w:eastAsiaTheme="majorEastAsia" w:hAnsiTheme="majorHAnsi" w:cstheme="majorBidi"/>
      <w:b/>
      <w:bCs/>
      <w:color w:val="000000" w:themeColor="text1"/>
      <w:sz w:val="30"/>
      <w:szCs w:val="30"/>
    </w:rPr>
  </w:style>
  <w:style w:type="character" w:customStyle="1" w:styleId="UnresolvedMention1">
    <w:name w:val="Unresolved Mention1"/>
    <w:basedOn w:val="a0"/>
    <w:uiPriority w:val="99"/>
    <w:semiHidden/>
    <w:unhideWhenUsed/>
    <w:qFormat/>
    <w:rPr>
      <w:color w:val="605E5C"/>
      <w:shd w:val="clear" w:color="auto" w:fill="E1DFDD"/>
    </w:rPr>
  </w:style>
  <w:style w:type="character" w:styleId="af0">
    <w:name w:val="Unresolved Mention"/>
    <w:basedOn w:val="a0"/>
    <w:uiPriority w:val="99"/>
    <w:semiHidden/>
    <w:unhideWhenUsed/>
    <w:rsid w:val="00E60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benjamaporn.c@pkru.ac.t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00222429990634s105" TargetMode="External"/><Relationship Id="rId5" Type="http://schemas.openxmlformats.org/officeDocument/2006/relationships/webSettings" Target="webSettings.xml"/><Relationship Id="rId10" Type="http://schemas.openxmlformats.org/officeDocument/2006/relationships/hyperlink" Target="https://doi.org/10.1016/j.tourman.2004.03.010" TargetMode="External"/><Relationship Id="rId4" Type="http://schemas.openxmlformats.org/officeDocument/2006/relationships/settings" Target="settings.xml"/><Relationship Id="rId9" Type="http://schemas.openxmlformats.org/officeDocument/2006/relationships/hyperlink" Target="https://doi.org/10.1509/jmkg.65.2.81.182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08D875A8-5612-4C86-9488-9498DE18D38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2272</Words>
  <Characters>12953</Characters>
  <Application>Microsoft Office Word</Application>
  <DocSecurity>0</DocSecurity>
  <Lines>107</Lines>
  <Paragraphs>30</Paragraphs>
  <ScaleCrop>false</ScaleCrop>
  <Company/>
  <LinksUpToDate>false</LinksUpToDate>
  <CharactersWithSpaces>15195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Walailak Rattanawong</dc:creator>
  <cp:lastModifiedBy>HP</cp:lastModifiedBy>
  <cp:revision>2</cp:revision>
  <cp:lastPrinted>2024-02-19T08:24:00Z</cp:lastPrinted>
  <dcterms:created xsi:type="dcterms:W3CDTF">2026-02-09T07:22:00Z</dcterms:created>
  <dcterms:modified xsi:type="dcterms:W3CDTF">2026-02-09T07:22:00Z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eyJoZGlkIjoiN2YzNjBkOTgyNWQ1YTMxYzM3MzMwNWFiODNmOWIzYWMiLCJ1c2VySWQiOiI5ODIwMTAyMTcifQ==</vt:lpwstr>
  </property>
  <property fmtid="{D5CDD505-2E9C-101B-9397-08002B2CF9AE}" pid="3" name="KSOProductBuildVer">
    <vt:lpwstr>2052-12.1.0.24657</vt:lpwstr>
  </property>
  <property fmtid="{D5CDD505-2E9C-101B-9397-08002B2CF9AE}" pid="4" name="ICV">
    <vt:lpwstr>304EB202A9C04C64A6138A366DED61F6_13</vt:lpwstr>
  </property>
</Properties>
</file>