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1D" w:rsidRPr="00E80B85" w:rsidRDefault="0075551D" w:rsidP="007555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ปัจจัยส่วนผสมการตลาดและความเชื่อมั่นที่ส่งผลต่อพฤติกรรมการซื้อสินค้าออนไลน์ของนิสิตหอพักใน </w:t>
      </w:r>
      <w:bookmarkEnd w:id="0"/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มหาวิทยาลัยทักษิณ วิทยาเขตสงขลา ระดับปริญญาตรี</w:t>
      </w:r>
      <w:r w:rsidRPr="00E80B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E80B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80B85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75551D" w:rsidRDefault="0075551D" w:rsidP="007555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0B85">
        <w:rPr>
          <w:rFonts w:ascii="TH SarabunPSK" w:hAnsi="TH SarabunPSK" w:cs="TH SarabunPSK" w:hint="cs"/>
          <w:b/>
          <w:bCs/>
          <w:sz w:val="32"/>
          <w:szCs w:val="32"/>
        </w:rPr>
        <w:t xml:space="preserve">Marketing factors and confidence that affect the online shopping behavior of dormitory students within Thaksin University </w:t>
      </w:r>
      <w:proofErr w:type="spellStart"/>
      <w:r w:rsidRPr="00E80B85">
        <w:rPr>
          <w:rFonts w:ascii="TH SarabunPSK" w:hAnsi="TH SarabunPSK" w:cs="TH SarabunPSK" w:hint="cs"/>
          <w:b/>
          <w:bCs/>
          <w:sz w:val="32"/>
          <w:szCs w:val="32"/>
        </w:rPr>
        <w:t>Songkhla</w:t>
      </w:r>
      <w:proofErr w:type="spellEnd"/>
      <w:r w:rsidRPr="00E80B85">
        <w:rPr>
          <w:rFonts w:ascii="TH SarabunPSK" w:hAnsi="TH SarabunPSK" w:cs="TH SarabunPSK" w:hint="cs"/>
          <w:b/>
          <w:bCs/>
          <w:sz w:val="32"/>
          <w:szCs w:val="32"/>
        </w:rPr>
        <w:t xml:space="preserve"> Campus</w:t>
      </w:r>
      <w:r w:rsidRPr="00E80B85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80B85">
        <w:rPr>
          <w:rFonts w:ascii="TH SarabunPSK" w:hAnsi="TH SarabunPSK" w:cs="TH SarabunPSK"/>
          <w:b/>
          <w:bCs/>
          <w:sz w:val="32"/>
          <w:szCs w:val="32"/>
        </w:rPr>
        <w:t>Literature Revi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E80B85">
        <w:rPr>
          <w:rFonts w:ascii="TH SarabunPSK" w:hAnsi="TH SarabunPSK" w:cs="TH SarabunPSK"/>
          <w:b/>
          <w:bCs/>
          <w:sz w:val="32"/>
          <w:szCs w:val="32"/>
        </w:rPr>
        <w:t>w</w:t>
      </w:r>
    </w:p>
    <w:p w:rsidR="0075551D" w:rsidRPr="00E80B85" w:rsidRDefault="0075551D" w:rsidP="007555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5551D" w:rsidRPr="00E80B85" w:rsidRDefault="0075551D" w:rsidP="007555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ซารีต้า หวังนุรักษ์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วรรกานต์ ชุดนอก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ธิดารัตน์ รองสวัสดิ์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>ศิรดา สระโร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4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นวิทย์ เอมเอก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5*</w:t>
      </w:r>
    </w:p>
    <w:p w:rsidR="0075551D" w:rsidRPr="00FB1E01" w:rsidRDefault="0075551D" w:rsidP="0075551D">
      <w:pPr>
        <w:tabs>
          <w:tab w:val="left" w:pos="2192"/>
          <w:tab w:val="center" w:pos="427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Sareeta</w:t>
      </w:r>
      <w:proofErr w:type="spellEnd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 Wangnurak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1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,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Worakan</w:t>
      </w:r>
      <w:proofErr w:type="spellEnd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 Chutnok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proofErr w:type="spellStart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Thidarat</w:t>
      </w:r>
      <w:proofErr w:type="spellEnd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Rongsawat</w:t>
      </w:r>
      <w:proofErr w:type="spellEnd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3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proofErr w:type="spellStart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Sirdad</w:t>
      </w:r>
      <w:proofErr w:type="spellEnd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 Saro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4</w:t>
      </w:r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, and</w:t>
      </w:r>
    </w:p>
    <w:p w:rsidR="0075551D" w:rsidRPr="00FB1E01" w:rsidRDefault="0075551D" w:rsidP="0075551D">
      <w:pPr>
        <w:tabs>
          <w:tab w:val="left" w:pos="2192"/>
          <w:tab w:val="center" w:pos="4277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>Nawit</w:t>
      </w:r>
      <w:proofErr w:type="spellEnd"/>
      <w:r w:rsidRPr="00FB1E01">
        <w:rPr>
          <w:rFonts w:ascii="TH SarabunPSK" w:hAnsi="TH SarabunPSK" w:cs="TH SarabunPSK" w:hint="cs"/>
          <w:b/>
          <w:bCs/>
          <w:sz w:val="32"/>
          <w:szCs w:val="32"/>
        </w:rPr>
        <w:t xml:space="preserve"> Amage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>5</w:t>
      </w:r>
      <w:r w:rsidRPr="00FB1E01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*</w:t>
      </w:r>
    </w:p>
    <w:p w:rsidR="0075551D" w:rsidRPr="001A6A49" w:rsidRDefault="0075551D" w:rsidP="0075551D">
      <w:pPr>
        <w:tabs>
          <w:tab w:val="left" w:pos="2192"/>
          <w:tab w:val="center" w:pos="4277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75551D" w:rsidRPr="001A6A49" w:rsidRDefault="0075551D" w:rsidP="0075551D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97CBF">
        <w:rPr>
          <w:rFonts w:ascii="TH SarabunPSK" w:hAnsi="TH SarabunPSK" w:cs="TH SarabunPSK" w:hint="cs"/>
          <w:sz w:val="28"/>
          <w:szCs w:val="28"/>
          <w:vertAlign w:val="superscript"/>
        </w:rPr>
        <w:t>1</w:t>
      </w:r>
      <w:r w:rsidRPr="00497CBF">
        <w:rPr>
          <w:rFonts w:ascii="TH SarabunPSK" w:hAnsi="TH SarabunPSK" w:cs="TH SarabunPSK" w:hint="cs"/>
          <w:sz w:val="28"/>
          <w:szCs w:val="28"/>
          <w:vertAlign w:val="superscript"/>
          <w:cs/>
        </w:rPr>
        <w:t>-</w:t>
      </w:r>
      <w:r w:rsidRPr="00497CBF">
        <w:rPr>
          <w:rFonts w:ascii="TH SarabunPSK" w:hAnsi="TH SarabunPSK" w:cs="TH SarabunPSK" w:hint="cs"/>
          <w:sz w:val="28"/>
          <w:szCs w:val="28"/>
          <w:vertAlign w:val="superscript"/>
        </w:rPr>
        <w:t>4</w:t>
      </w:r>
      <w:r w:rsidRPr="001A6A49">
        <w:rPr>
          <w:rFonts w:ascii="TH SarabunPSK" w:hAnsi="TH SarabunPSK" w:cs="TH SarabunPSK" w:hint="cs"/>
          <w:sz w:val="28"/>
          <w:szCs w:val="28"/>
          <w:cs/>
        </w:rPr>
        <w:t xml:space="preserve"> นิสิตหลักสูตรสาขาวิชาการจัดการทรัพยากรมนุษย์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75551D" w:rsidRPr="001A6A49" w:rsidRDefault="0075551D" w:rsidP="0075551D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497CBF">
        <w:rPr>
          <w:rFonts w:ascii="TH SarabunPSK" w:hAnsi="TH SarabunPSK" w:cs="TH SarabunPSK" w:hint="cs"/>
          <w:sz w:val="28"/>
          <w:szCs w:val="28"/>
          <w:vertAlign w:val="superscript"/>
        </w:rPr>
        <w:t xml:space="preserve">5 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อาจารย์หลักสูตรสาขาวิชาการจัดการทรัพยากรมนุษย์ คณะมนุษยศาสตร์และสังคมศาสตร์ มหาวิทยาลัยทักษิณ</w:t>
      </w:r>
    </w:p>
    <w:p w:rsidR="0075551D" w:rsidRDefault="0075551D" w:rsidP="0075551D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  <w:r w:rsidRPr="001A6A49">
        <w:rPr>
          <w:rFonts w:ascii="TH SarabunPSK" w:hAnsi="TH SarabunPSK" w:cs="TH SarabunPSK" w:hint="cs"/>
          <w:sz w:val="28"/>
          <w:szCs w:val="28"/>
        </w:rPr>
        <w:t>E</w:t>
      </w:r>
      <w:r w:rsidRPr="001A6A49">
        <w:rPr>
          <w:rFonts w:ascii="TH SarabunPSK" w:hAnsi="TH SarabunPSK" w:cs="TH SarabunPSK" w:hint="cs"/>
          <w:sz w:val="28"/>
          <w:szCs w:val="28"/>
          <w:cs/>
        </w:rPr>
        <w:t>-</w:t>
      </w:r>
      <w:r w:rsidRPr="001A6A49">
        <w:rPr>
          <w:rFonts w:ascii="TH SarabunPSK" w:hAnsi="TH SarabunPSK" w:cs="TH SarabunPSK" w:hint="cs"/>
          <w:sz w:val="28"/>
          <w:szCs w:val="28"/>
        </w:rPr>
        <w:t>mail</w:t>
      </w:r>
      <w:r w:rsidRPr="001A6A49">
        <w:rPr>
          <w:rFonts w:ascii="TH SarabunPSK" w:hAnsi="TH SarabunPSK" w:cs="TH SarabunPSK" w:hint="cs"/>
          <w:sz w:val="28"/>
          <w:szCs w:val="28"/>
          <w:cs/>
        </w:rPr>
        <w:t xml:space="preserve">: </w:t>
      </w:r>
      <w:hyperlink r:id="rId4" w:history="1">
        <w:r w:rsidRPr="001A31F3">
          <w:rPr>
            <w:rStyle w:val="Hyperlink"/>
            <w:rFonts w:ascii="TH SarabunPSK" w:hAnsi="TH SarabunPSK" w:cs="TH SarabunPSK"/>
            <w:sz w:val="28"/>
            <w:szCs w:val="28"/>
          </w:rPr>
          <w:t>nawit</w:t>
        </w:r>
        <w:r w:rsidRPr="001A31F3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Pr="001A31F3">
          <w:rPr>
            <w:rStyle w:val="Hyperlink"/>
            <w:rFonts w:ascii="TH SarabunPSK" w:hAnsi="TH SarabunPSK" w:cs="TH SarabunPSK"/>
            <w:sz w:val="28"/>
            <w:szCs w:val="28"/>
          </w:rPr>
          <w:t>a@tsu</w:t>
        </w:r>
        <w:r w:rsidRPr="001A31F3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r w:rsidRPr="001A31F3">
          <w:rPr>
            <w:rStyle w:val="Hyperlink"/>
            <w:rFonts w:ascii="TH SarabunPSK" w:hAnsi="TH SarabunPSK" w:cs="TH SarabunPSK"/>
            <w:sz w:val="28"/>
            <w:szCs w:val="28"/>
          </w:rPr>
          <w:t>ac</w:t>
        </w:r>
        <w:r w:rsidRPr="001A31F3">
          <w:rPr>
            <w:rStyle w:val="Hyperlink"/>
            <w:rFonts w:ascii="TH SarabunPSK" w:hAnsi="TH SarabunPSK" w:cs="TH SarabunPSK"/>
            <w:sz w:val="28"/>
            <w:szCs w:val="28"/>
            <w:cs/>
          </w:rPr>
          <w:t>.</w:t>
        </w:r>
        <w:proofErr w:type="spellStart"/>
        <w:r w:rsidRPr="001A31F3">
          <w:rPr>
            <w:rStyle w:val="Hyperlink"/>
            <w:rFonts w:ascii="TH SarabunPSK" w:hAnsi="TH SarabunPSK" w:cs="TH SarabunPSK"/>
            <w:sz w:val="28"/>
            <w:szCs w:val="28"/>
          </w:rPr>
          <w:t>th</w:t>
        </w:r>
        <w:proofErr w:type="spellEnd"/>
      </w:hyperlink>
      <w:r>
        <w:rPr>
          <w:rStyle w:val="Hyperlink"/>
          <w:rFonts w:ascii="TH SarabunPSK" w:hAnsi="TH SarabunPSK" w:cs="TH SarabunPSK"/>
          <w:sz w:val="28"/>
          <w:szCs w:val="28"/>
          <w:cs/>
        </w:rPr>
        <w:t xml:space="preserve"> </w:t>
      </w:r>
      <w:r w:rsidRPr="00497CB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vertAlign w:val="superscript"/>
        </w:rPr>
        <w:t>5</w:t>
      </w:r>
      <w:r w:rsidRPr="00497CBF">
        <w:rPr>
          <w:rStyle w:val="Hyperlink"/>
          <w:rFonts w:ascii="TH SarabunPSK" w:hAnsi="TH SarabunPSK" w:cs="TH SarabunPSK"/>
          <w:color w:val="000000" w:themeColor="text1"/>
          <w:sz w:val="28"/>
          <w:szCs w:val="28"/>
          <w:vertAlign w:val="superscript"/>
          <w:cs/>
        </w:rPr>
        <w:t>*</w:t>
      </w:r>
    </w:p>
    <w:p w:rsidR="0075551D" w:rsidRDefault="0075551D" w:rsidP="0075551D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</w:rPr>
      </w:pPr>
    </w:p>
    <w:p w:rsidR="0075551D" w:rsidRDefault="0075551D" w:rsidP="0075551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D004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บทคัดย่อ </w:t>
      </w:r>
    </w:p>
    <w:p w:rsidR="0075551D" w:rsidRDefault="0075551D" w:rsidP="0075551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การวิจัยฉบับนี้มีวัตถุประสงค์เพื่อ</w:t>
      </w:r>
      <w:r>
        <w:rPr>
          <w:rFonts w:ascii="TH SarabunPSK" w:eastAsia="Times New Roman" w:hAnsi="TH SarabunPSK" w:cs="TH SarabunPSK" w:hint="cs"/>
          <w:sz w:val="28"/>
          <w:szCs w:val="28"/>
          <w:cs/>
        </w:rPr>
        <w:t>พัฒนากรอบแนวคิดการวิจัยในประเด็นการ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ศึกษาปัจจัยส่วนผสมทางการตลาดและความเชื่อมั่นที่มีอิทธิพลต่อพฤติกรรมการซื้อสินค้าออนไลน์ของนิสิตที่</w:t>
      </w:r>
      <w:r w:rsidRPr="007D0044">
        <w:rPr>
          <w:rFonts w:ascii="TH SarabunPSK" w:eastAsia="Times New Roman" w:hAnsi="TH SarabunPSK" w:cs="TH SarabunPSK" w:hint="cs"/>
          <w:sz w:val="28"/>
          <w:szCs w:val="28"/>
          <w:cs/>
        </w:rPr>
        <w:t>พัก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นัก ณ หอพัก</w:t>
      </w:r>
      <w:r w:rsidRPr="007D0044">
        <w:rPr>
          <w:rFonts w:ascii="TH SarabunPSK" w:eastAsia="Times New Roman" w:hAnsi="TH SarabunPSK" w:cs="TH SarabunPSK" w:hint="cs"/>
          <w:sz w:val="28"/>
          <w:szCs w:val="28"/>
          <w:cs/>
        </w:rPr>
        <w:t>ใน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มหาวิทยาลัยทักษิณ วิทยาเขตสงขลา ในการนี้ </w:t>
      </w:r>
      <w:r w:rsidRPr="007D0044">
        <w:rPr>
          <w:rFonts w:ascii="TH SarabunPSK" w:eastAsia="Times New Roman" w:hAnsi="TH SarabunPSK" w:cs="TH SarabunPSK" w:hint="cs"/>
          <w:sz w:val="28"/>
          <w:szCs w:val="28"/>
          <w:cs/>
        </w:rPr>
        <w:t>กลุ่ม</w:t>
      </w:r>
      <w:r w:rsidRPr="007977CA">
        <w:rPr>
          <w:rFonts w:ascii="TH SarabunPSK" w:eastAsia="Times New Roman" w:hAnsi="TH SarabunPSK" w:cs="TH SarabunPSK" w:hint="cs"/>
          <w:sz w:val="28"/>
          <w:szCs w:val="28"/>
          <w:cs/>
        </w:rPr>
        <w:t>ผู้วิจัยได้ดำเนินการทบทวนวรรณกรรม ตลอดจนศึกษาหลักการ แนวคิด และทฤษฎีที่เกี่ยวข้องจากแหล่งข้อมูลอย่างหลากหลาย ประกอบด้วย เอกสารทางวิชาการ รายงานการวิจัย และการสืบค้นผ่านระบบเครือข่ายสารสนเทศ เพื่อนำข้อมูลมาสังเคราะห์และประยุกต์ใช้ในการกำหนดกรอบแนวคิดการวิจัยให้มีความครอบคลุมและสมบูรณ์ตามหลักวิชาการ</w:t>
      </w:r>
    </w:p>
    <w:p w:rsidR="0075551D" w:rsidRPr="001A6A49" w:rsidRDefault="0075551D" w:rsidP="0075551D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</w:p>
    <w:p w:rsidR="0075551D" w:rsidRDefault="0075551D" w:rsidP="0075551D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60692A">
        <w:rPr>
          <w:rFonts w:ascii="TH SarabunPSK" w:hAnsi="TH SarabunPSK" w:cs="TH SarabunPSK" w:hint="cs"/>
          <w:b/>
          <w:bCs/>
          <w:sz w:val="28"/>
          <w:szCs w:val="28"/>
          <w:cs/>
        </w:rPr>
        <w:t>คำสำคัญ:</w:t>
      </w:r>
      <w:r w:rsidRPr="0060692A">
        <w:rPr>
          <w:rFonts w:ascii="TH SarabunPSK" w:hAnsi="TH SarabunPSK" w:cs="TH SarabunPSK" w:hint="cs"/>
          <w:sz w:val="28"/>
          <w:szCs w:val="28"/>
          <w:cs/>
        </w:rPr>
        <w:t xml:space="preserve"> ส่วนผสมการตลาดออนไลน์</w:t>
      </w:r>
      <w:r w:rsidRPr="0060692A">
        <w:rPr>
          <w:rFonts w:ascii="TH SarabunPSK" w:hAnsi="TH SarabunPSK" w:cs="TH SarabunPSK" w:hint="cs"/>
          <w:sz w:val="28"/>
          <w:szCs w:val="28"/>
        </w:rPr>
        <w:t xml:space="preserve">, </w:t>
      </w:r>
      <w:r w:rsidRPr="0060692A">
        <w:rPr>
          <w:rFonts w:ascii="TH SarabunPSK" w:hAnsi="TH SarabunPSK" w:cs="TH SarabunPSK" w:hint="cs"/>
          <w:sz w:val="28"/>
          <w:szCs w:val="28"/>
          <w:cs/>
        </w:rPr>
        <w:t>ความเชื่อมั่น</w:t>
      </w:r>
      <w:r w:rsidRPr="0060692A">
        <w:rPr>
          <w:rFonts w:ascii="TH SarabunPSK" w:hAnsi="TH SarabunPSK" w:cs="TH SarabunPSK" w:hint="cs"/>
          <w:sz w:val="28"/>
          <w:szCs w:val="28"/>
        </w:rPr>
        <w:t xml:space="preserve">, </w:t>
      </w:r>
      <w:r w:rsidRPr="0060692A">
        <w:rPr>
          <w:rFonts w:ascii="TH SarabunPSK" w:hAnsi="TH SarabunPSK" w:cs="TH SarabunPSK" w:hint="cs"/>
          <w:sz w:val="28"/>
          <w:szCs w:val="28"/>
          <w:cs/>
        </w:rPr>
        <w:t>พฤติกรรมการซื้อสินค้าออนไลน์</w:t>
      </w:r>
    </w:p>
    <w:p w:rsidR="0075551D" w:rsidRDefault="0075551D" w:rsidP="0075551D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:rsidR="0075551D" w:rsidRPr="0060692A" w:rsidRDefault="0075551D" w:rsidP="0075551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D0044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</w:p>
    <w:p w:rsidR="0075551D" w:rsidRDefault="0075551D" w:rsidP="0075551D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  <w:r w:rsidRPr="0048340D">
        <w:rPr>
          <w:rFonts w:ascii="TH SarabunPSK" w:hAnsi="TH SarabunPSK" w:cs="TH SarabunPSK"/>
          <w:sz w:val="28"/>
          <w:szCs w:val="28"/>
        </w:rPr>
        <w:t>This research aims</w:t>
      </w:r>
      <w:r>
        <w:rPr>
          <w:rFonts w:ascii="TH SarabunPSK" w:hAnsi="TH SarabunPSK" w:cs="TH SarabunPSK"/>
          <w:sz w:val="28"/>
          <w:szCs w:val="28"/>
        </w:rPr>
        <w:t xml:space="preserve"> to develop conceptual framework of Research in topic</w:t>
      </w:r>
      <w:r w:rsidRPr="0048340D">
        <w:rPr>
          <w:rFonts w:ascii="TH SarabunPSK" w:hAnsi="TH SarabunPSK" w:cs="TH SarabunPSK"/>
          <w:sz w:val="28"/>
          <w:szCs w:val="28"/>
        </w:rPr>
        <w:t xml:space="preserve"> to study the marketing mix factors and trust that influence the online purchasing behavior of students residing in dormitories at Thaksin University, </w:t>
      </w:r>
      <w:proofErr w:type="spellStart"/>
      <w:r w:rsidRPr="0048340D">
        <w:rPr>
          <w:rFonts w:ascii="TH SarabunPSK" w:hAnsi="TH SarabunPSK" w:cs="TH SarabunPSK"/>
          <w:sz w:val="28"/>
          <w:szCs w:val="28"/>
        </w:rPr>
        <w:t>Songkhla</w:t>
      </w:r>
      <w:proofErr w:type="spellEnd"/>
      <w:r w:rsidRPr="0048340D">
        <w:rPr>
          <w:rFonts w:ascii="TH SarabunPSK" w:hAnsi="TH SarabunPSK" w:cs="TH SarabunPSK"/>
          <w:sz w:val="28"/>
          <w:szCs w:val="28"/>
        </w:rPr>
        <w:t xml:space="preserve"> Campus</w:t>
      </w:r>
      <w:r w:rsidRPr="0048340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48340D">
        <w:rPr>
          <w:rFonts w:ascii="TH SarabunPSK" w:hAnsi="TH SarabunPSK" w:cs="TH SarabunPSK"/>
          <w:sz w:val="28"/>
          <w:szCs w:val="28"/>
        </w:rPr>
        <w:t>To this end, the research team conducted a literature review and studied relevant principles, concepts, and theories from various sources, including academic documents, research reports, and information network searches</w:t>
      </w:r>
      <w:r w:rsidRPr="0048340D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48340D">
        <w:rPr>
          <w:rFonts w:ascii="TH SarabunPSK" w:hAnsi="TH SarabunPSK" w:cs="TH SarabunPSK"/>
          <w:sz w:val="28"/>
          <w:szCs w:val="28"/>
        </w:rPr>
        <w:t>This information was then synthesized and applied to define a comprehensive and complete research framework based on academic principles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:rsidR="0075551D" w:rsidRDefault="0075551D" w:rsidP="0075551D">
      <w:pPr>
        <w:spacing w:after="0" w:line="240" w:lineRule="auto"/>
        <w:ind w:firstLine="720"/>
        <w:rPr>
          <w:rFonts w:ascii="TH SarabunPSK" w:hAnsi="TH SarabunPSK" w:cs="TH SarabunPSK" w:hint="cs"/>
          <w:sz w:val="28"/>
          <w:szCs w:val="28"/>
        </w:rPr>
      </w:pPr>
    </w:p>
    <w:p w:rsidR="0075551D" w:rsidRDefault="0075551D" w:rsidP="0075551D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proofErr w:type="gramStart"/>
      <w:r w:rsidRPr="0048340D">
        <w:rPr>
          <w:rFonts w:ascii="TH SarabunPSK" w:hAnsi="TH SarabunPSK" w:cs="TH SarabunPSK"/>
          <w:b/>
          <w:bCs/>
          <w:sz w:val="28"/>
          <w:szCs w:val="28"/>
        </w:rPr>
        <w:t xml:space="preserve">Keywords </w:t>
      </w:r>
      <w:r w:rsidRPr="0048340D">
        <w:rPr>
          <w:rFonts w:ascii="TH SarabunPSK" w:hAnsi="TH SarabunPSK" w:cs="TH SarabunPSK"/>
          <w:b/>
          <w:bCs/>
          <w:sz w:val="28"/>
          <w:szCs w:val="28"/>
          <w:cs/>
        </w:rPr>
        <w:t>:</w:t>
      </w:r>
      <w:proofErr w:type="gramEnd"/>
      <w:r w:rsidRPr="0048340D">
        <w:rPr>
          <w:rFonts w:ascii="TH SarabunPSK" w:hAnsi="TH SarabunPSK" w:cs="TH SarabunPSK"/>
          <w:sz w:val="28"/>
          <w:szCs w:val="28"/>
        </w:rPr>
        <w:t xml:space="preserve"> Online marketing mix, Trust, Online purchasing behavior</w:t>
      </w:r>
    </w:p>
    <w:p w:rsidR="006E6C30" w:rsidRPr="0075551D" w:rsidRDefault="006E6C30" w:rsidP="0075551D">
      <w:pPr>
        <w:spacing w:after="0" w:line="240" w:lineRule="auto"/>
      </w:pPr>
    </w:p>
    <w:sectPr w:rsidR="006E6C30" w:rsidRPr="00755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1D"/>
    <w:rsid w:val="006E6C30"/>
    <w:rsid w:val="007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7B4E"/>
  <w15:chartTrackingRefBased/>
  <w15:docId w15:val="{23BF9FF0-9CE0-44B7-91F5-161871B7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51D"/>
    <w:pPr>
      <w:spacing w:after="200" w:line="276" w:lineRule="auto"/>
    </w:pPr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5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wit.a@ts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Swift</dc:creator>
  <cp:keywords/>
  <dc:description/>
  <cp:lastModifiedBy>Acer Swift</cp:lastModifiedBy>
  <cp:revision>1</cp:revision>
  <dcterms:created xsi:type="dcterms:W3CDTF">2026-02-06T14:52:00Z</dcterms:created>
  <dcterms:modified xsi:type="dcterms:W3CDTF">2026-02-06T14:53:00Z</dcterms:modified>
</cp:coreProperties>
</file>