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12" w:rsidRPr="002955C9" w:rsidRDefault="000F1F12" w:rsidP="000F1F12">
      <w:pPr>
        <w:spacing w:after="0" w:line="240" w:lineRule="auto"/>
        <w:jc w:val="center"/>
        <w:rPr>
          <w:rFonts w:ascii="TH SarabunPSK" w:eastAsia="Calibri" w:hAnsi="TH SarabunPSK" w:cs="TH SarabunPSK"/>
          <w:b/>
          <w:bCs/>
          <w:sz w:val="32"/>
          <w:szCs w:val="32"/>
          <w:lang w:val="en-GB"/>
        </w:rPr>
      </w:pPr>
      <w:r w:rsidRPr="002955C9">
        <w:rPr>
          <w:rFonts w:ascii="TH SarabunPSK" w:eastAsia="Calibri" w:hAnsi="TH SarabunPSK" w:cs="TH SarabunPSK" w:hint="cs"/>
          <w:b/>
          <w:bCs/>
          <w:sz w:val="32"/>
          <w:szCs w:val="32"/>
          <w:cs/>
          <w:lang w:val="en-GB"/>
        </w:rPr>
        <w:t>การสังเคราะห์กลไกและรูปแบบพื้นที่ห้องปฏิบัติการชุมชนเพื่อสังคมผู้สูงอายุ</w:t>
      </w:r>
      <w:r w:rsidRPr="002955C9">
        <w:rPr>
          <w:rStyle w:val="a4"/>
          <w:rFonts w:ascii="TH SarabunPSK" w:eastAsia="Calibri" w:hAnsi="TH SarabunPSK" w:cs="TH SarabunPSK" w:hint="cs"/>
          <w:b/>
          <w:bCs/>
          <w:sz w:val="32"/>
          <w:szCs w:val="32"/>
          <w:cs/>
          <w:lang w:val="en-GB"/>
        </w:rPr>
        <w:footnoteReference w:id="1"/>
      </w:r>
    </w:p>
    <w:p w:rsidR="000F1F12" w:rsidRPr="002955C9" w:rsidRDefault="000F1F12" w:rsidP="000F1F12">
      <w:pPr>
        <w:spacing w:after="0" w:line="240" w:lineRule="auto"/>
        <w:jc w:val="center"/>
        <w:rPr>
          <w:rFonts w:ascii="TH SarabunPSK" w:eastAsia="Calibri" w:hAnsi="TH SarabunPSK" w:cs="TH SarabunPSK"/>
          <w:b/>
          <w:bCs/>
          <w:sz w:val="32"/>
          <w:szCs w:val="32"/>
        </w:rPr>
      </w:pPr>
    </w:p>
    <w:p w:rsidR="000F1F12" w:rsidRPr="002955C9" w:rsidRDefault="000F1F12" w:rsidP="000F1F12">
      <w:pPr>
        <w:spacing w:after="0" w:line="240" w:lineRule="auto"/>
        <w:ind w:firstLine="720"/>
        <w:jc w:val="center"/>
        <w:rPr>
          <w:rFonts w:ascii="TH SarabunPSK" w:eastAsia="Calibri" w:hAnsi="TH SarabunPSK" w:cs="TH SarabunPSK"/>
          <w:sz w:val="32"/>
          <w:szCs w:val="32"/>
        </w:rPr>
      </w:pPr>
      <w:r w:rsidRPr="002955C9">
        <w:rPr>
          <w:rFonts w:ascii="TH SarabunPSK" w:eastAsia="Calibri" w:hAnsi="TH SarabunPSK" w:cs="TH SarabunPSK" w:hint="cs"/>
          <w:sz w:val="32"/>
          <w:szCs w:val="32"/>
          <w:cs/>
        </w:rPr>
        <w:t>ผศ.รณรงค์  จันใด</w:t>
      </w:r>
      <w:r w:rsidRPr="002955C9">
        <w:rPr>
          <w:rFonts w:ascii="TH SarabunPSK" w:eastAsia="Calibri" w:hAnsi="TH SarabunPSK" w:cs="TH SarabunPSK" w:hint="cs"/>
          <w:sz w:val="32"/>
          <w:szCs w:val="32"/>
          <w:vertAlign w:val="superscript"/>
          <w:cs/>
        </w:rPr>
        <w:footnoteReference w:id="2"/>
      </w:r>
    </w:p>
    <w:p w:rsidR="000F1F12" w:rsidRPr="002955C9" w:rsidRDefault="000F1F12" w:rsidP="000F1F12">
      <w:pPr>
        <w:spacing w:after="0" w:line="240" w:lineRule="auto"/>
        <w:ind w:firstLine="720"/>
        <w:jc w:val="center"/>
        <w:rPr>
          <w:rFonts w:ascii="TH SarabunPSK" w:eastAsia="Calibri" w:hAnsi="TH SarabunPSK" w:cs="TH SarabunPSK"/>
          <w:sz w:val="32"/>
          <w:szCs w:val="32"/>
        </w:rPr>
      </w:pPr>
      <w:proofErr w:type="spellStart"/>
      <w:r w:rsidRPr="002955C9">
        <w:rPr>
          <w:rFonts w:ascii="TH SarabunPSK" w:eastAsia="Calibri" w:hAnsi="TH SarabunPSK" w:cs="TH SarabunPSK" w:hint="cs"/>
          <w:sz w:val="32"/>
          <w:szCs w:val="32"/>
        </w:rPr>
        <w:t>Ronnarong</w:t>
      </w:r>
      <w:proofErr w:type="spellEnd"/>
      <w:r w:rsidRPr="002955C9">
        <w:rPr>
          <w:rFonts w:ascii="TH SarabunPSK" w:eastAsia="Calibri" w:hAnsi="TH SarabunPSK" w:cs="TH SarabunPSK" w:hint="cs"/>
          <w:sz w:val="32"/>
          <w:szCs w:val="32"/>
        </w:rPr>
        <w:t xml:space="preserve"> </w:t>
      </w:r>
      <w:proofErr w:type="spellStart"/>
      <w:r w:rsidRPr="002955C9">
        <w:rPr>
          <w:rFonts w:ascii="TH SarabunPSK" w:eastAsia="Calibri" w:hAnsi="TH SarabunPSK" w:cs="TH SarabunPSK" w:hint="cs"/>
          <w:sz w:val="32"/>
          <w:szCs w:val="32"/>
        </w:rPr>
        <w:t>Jundai</w:t>
      </w:r>
      <w:proofErr w:type="spellEnd"/>
      <w:r w:rsidRPr="002955C9">
        <w:rPr>
          <w:rFonts w:ascii="TH SarabunPSK" w:eastAsia="Calibri" w:hAnsi="TH SarabunPSK" w:cs="TH SarabunPSK" w:hint="cs"/>
          <w:sz w:val="32"/>
          <w:szCs w:val="32"/>
          <w:vertAlign w:val="superscript"/>
        </w:rPr>
        <w:footnoteReference w:id="3"/>
      </w:r>
    </w:p>
    <w:p w:rsidR="000F1F12" w:rsidRPr="002955C9" w:rsidRDefault="000F1F12" w:rsidP="000F1F12">
      <w:pPr>
        <w:spacing w:after="0" w:line="240" w:lineRule="auto"/>
        <w:rPr>
          <w:rFonts w:ascii="TH SarabunPSK" w:eastAsia="Calibri" w:hAnsi="TH SarabunPSK" w:cs="TH SarabunPSK"/>
          <w:sz w:val="32"/>
          <w:szCs w:val="32"/>
        </w:rPr>
      </w:pPr>
    </w:p>
    <w:p w:rsidR="000F1F12" w:rsidRPr="002955C9" w:rsidRDefault="000F1F12" w:rsidP="000F1F12">
      <w:pPr>
        <w:spacing w:after="0" w:line="240" w:lineRule="auto"/>
        <w:rPr>
          <w:rFonts w:ascii="TH SarabunPSK" w:eastAsia="Calibri" w:hAnsi="TH SarabunPSK" w:cs="TH SarabunPSK"/>
          <w:b/>
          <w:bCs/>
          <w:sz w:val="32"/>
          <w:szCs w:val="32"/>
          <w:lang w:val="en-GB"/>
        </w:rPr>
      </w:pPr>
      <w:r w:rsidRPr="002955C9">
        <w:rPr>
          <w:rFonts w:ascii="TH SarabunPSK" w:eastAsia="Calibri" w:hAnsi="TH SarabunPSK" w:cs="TH SarabunPSK" w:hint="cs"/>
          <w:b/>
          <w:bCs/>
          <w:sz w:val="32"/>
          <w:szCs w:val="32"/>
          <w:cs/>
        </w:rPr>
        <w:t xml:space="preserve">บทคัดย่อ </w:t>
      </w:r>
    </w:p>
    <w:p w:rsidR="000F1F12" w:rsidRPr="002955C9" w:rsidRDefault="000F1F12" w:rsidP="000F1F12">
      <w:pPr>
        <w:spacing w:after="0" w:line="240" w:lineRule="auto"/>
        <w:rPr>
          <w:rFonts w:ascii="TH SarabunPSK" w:eastAsia="Calibri" w:hAnsi="TH SarabunPSK" w:cs="TH SarabunPSK"/>
          <w:b/>
          <w:bCs/>
          <w:sz w:val="32"/>
          <w:szCs w:val="32"/>
        </w:rPr>
      </w:pPr>
    </w:p>
    <w:p w:rsidR="000F1F12" w:rsidRPr="002955C9" w:rsidRDefault="000F1F12" w:rsidP="000F1F12">
      <w:pPr>
        <w:spacing w:after="0" w:line="240" w:lineRule="auto"/>
        <w:ind w:firstLine="720"/>
        <w:jc w:val="thaiDistribute"/>
        <w:rPr>
          <w:rFonts w:ascii="TH SarabunPSK" w:eastAsia="Calibri" w:hAnsi="TH SarabunPSK" w:cs="TH SarabunPSK"/>
          <w:sz w:val="32"/>
          <w:szCs w:val="32"/>
        </w:rPr>
      </w:pPr>
      <w:r w:rsidRPr="002955C9">
        <w:rPr>
          <w:rFonts w:ascii="TH SarabunPSK" w:eastAsia="Calibri" w:hAnsi="TH SarabunPSK" w:cs="TH SarabunPSK" w:hint="cs"/>
          <w:sz w:val="32"/>
          <w:szCs w:val="32"/>
          <w:cs/>
          <w:lang w:val="en-GB"/>
        </w:rPr>
        <w:t>การพัฒนา</w:t>
      </w:r>
      <w:r w:rsidRPr="002955C9">
        <w:rPr>
          <w:rFonts w:ascii="TH SarabunPSK" w:eastAsia="Calibri" w:hAnsi="TH SarabunPSK" w:cs="TH SarabunPSK" w:hint="cs"/>
          <w:sz w:val="32"/>
          <w:szCs w:val="32"/>
          <w:cs/>
        </w:rPr>
        <w:t>กลไกและรูปแบบพื้นที่ห้องปฏิบัติการชุมชนเพื่อสังคมผู้สูงอายุ</w:t>
      </w:r>
      <w:r w:rsidRPr="002955C9">
        <w:rPr>
          <w:rFonts w:ascii="TH SarabunPSK" w:eastAsia="Calibri" w:hAnsi="TH SarabunPSK" w:cs="TH SarabunPSK" w:hint="cs"/>
          <w:sz w:val="32"/>
          <w:szCs w:val="32"/>
        </w:rPr>
        <w:t xml:space="preserve"> </w:t>
      </w:r>
      <w:r w:rsidRPr="002955C9">
        <w:rPr>
          <w:rFonts w:ascii="TH SarabunPSK" w:eastAsia="Calibri" w:hAnsi="TH SarabunPSK" w:cs="TH SarabunPSK" w:hint="cs"/>
          <w:sz w:val="32"/>
          <w:szCs w:val="32"/>
          <w:cs/>
        </w:rPr>
        <w:t xml:space="preserve">พบว่า สถานการณ์บริบทพื้นที่ตำบลบูรณาการส่งเสริมสุขภาพกลุ่มวัยและอนามัยสิ่งแวดล้อมทั้ง 12 พื้นที่มีทั้งจุดแข็งและจุดอ่อนในการดำเนินงานพัฒนาเป็นพื้นที่ห้องปฏิบัติการชุมชนเพื่อรองรับสังคมผู้สูงอายุ และปัจจัยความสำเร็จของการดำเนินงาน ได้แก่ </w:t>
      </w:r>
      <w:r w:rsidRPr="002955C9">
        <w:rPr>
          <w:rFonts w:ascii="TH SarabunPSK" w:eastAsia="Calibri" w:hAnsi="TH SarabunPSK" w:cs="TH SarabunPSK" w:hint="cs"/>
          <w:sz w:val="32"/>
          <w:szCs w:val="32"/>
          <w:cs/>
          <w:lang w:val="en-GB"/>
        </w:rPr>
        <w:t>(</w:t>
      </w:r>
      <w:r w:rsidRPr="002955C9">
        <w:rPr>
          <w:rFonts w:ascii="TH SarabunPSK" w:eastAsia="Calibri" w:hAnsi="TH SarabunPSK" w:cs="TH SarabunPSK" w:hint="cs"/>
          <w:sz w:val="32"/>
          <w:szCs w:val="32"/>
          <w:lang w:val="en-GB"/>
        </w:rPr>
        <w:t>1</w:t>
      </w:r>
      <w:r w:rsidRPr="002955C9">
        <w:rPr>
          <w:rFonts w:ascii="TH SarabunPSK" w:eastAsia="Calibri" w:hAnsi="TH SarabunPSK" w:cs="TH SarabunPSK" w:hint="cs"/>
          <w:sz w:val="32"/>
          <w:szCs w:val="32"/>
          <w:cs/>
          <w:lang w:val="en-GB"/>
        </w:rPr>
        <w:t>) ทุนทางสังคมหรือทุนเดิมในชุมชน (</w:t>
      </w:r>
      <w:r w:rsidRPr="002955C9">
        <w:rPr>
          <w:rFonts w:ascii="TH SarabunPSK" w:eastAsia="Calibri" w:hAnsi="TH SarabunPSK" w:cs="TH SarabunPSK" w:hint="cs"/>
          <w:sz w:val="32"/>
          <w:szCs w:val="32"/>
          <w:lang w:val="en-GB"/>
        </w:rPr>
        <w:t>2</w:t>
      </w:r>
      <w:r w:rsidRPr="002955C9">
        <w:rPr>
          <w:rFonts w:ascii="TH SarabunPSK" w:eastAsia="Calibri" w:hAnsi="TH SarabunPSK" w:cs="TH SarabunPSK" w:hint="cs"/>
          <w:sz w:val="32"/>
          <w:szCs w:val="32"/>
          <w:cs/>
          <w:lang w:val="en-GB"/>
        </w:rPr>
        <w:t>) สภาพแวดล้อมและชุมชน (</w:t>
      </w:r>
      <w:r w:rsidRPr="002955C9">
        <w:rPr>
          <w:rFonts w:ascii="TH SarabunPSK" w:eastAsia="Calibri" w:hAnsi="TH SarabunPSK" w:cs="TH SarabunPSK" w:hint="cs"/>
          <w:sz w:val="32"/>
          <w:szCs w:val="32"/>
          <w:lang w:val="en-GB"/>
        </w:rPr>
        <w:t>3</w:t>
      </w:r>
      <w:r w:rsidRPr="002955C9">
        <w:rPr>
          <w:rFonts w:ascii="TH SarabunPSK" w:eastAsia="Calibri" w:hAnsi="TH SarabunPSK" w:cs="TH SarabunPSK" w:hint="cs"/>
          <w:sz w:val="32"/>
          <w:szCs w:val="32"/>
          <w:cs/>
          <w:lang w:val="en-GB"/>
        </w:rPr>
        <w:t>) การมีส่วนร่วมของผู้สูงอายุ</w:t>
      </w:r>
      <w:r w:rsidRPr="002955C9">
        <w:rPr>
          <w:rFonts w:ascii="TH SarabunPSK" w:eastAsia="Calibri" w:hAnsi="TH SarabunPSK" w:cs="TH SarabunPSK" w:hint="cs"/>
          <w:sz w:val="32"/>
          <w:szCs w:val="32"/>
          <w:lang w:val="en-GB"/>
        </w:rPr>
        <w:t xml:space="preserve"> </w:t>
      </w:r>
      <w:r w:rsidRPr="002955C9">
        <w:rPr>
          <w:rFonts w:ascii="TH SarabunPSK" w:eastAsia="Calibri" w:hAnsi="TH SarabunPSK" w:cs="TH SarabunPSK" w:hint="cs"/>
          <w:sz w:val="32"/>
          <w:szCs w:val="32"/>
          <w:cs/>
          <w:lang w:val="en-GB"/>
        </w:rPr>
        <w:t>และ(</w:t>
      </w:r>
      <w:r w:rsidRPr="002955C9">
        <w:rPr>
          <w:rFonts w:ascii="TH SarabunPSK" w:eastAsia="Calibri" w:hAnsi="TH SarabunPSK" w:cs="TH SarabunPSK" w:hint="cs"/>
          <w:sz w:val="32"/>
          <w:szCs w:val="32"/>
          <w:lang w:val="en-GB"/>
        </w:rPr>
        <w:t>4</w:t>
      </w:r>
      <w:r w:rsidRPr="002955C9">
        <w:rPr>
          <w:rFonts w:ascii="TH SarabunPSK" w:eastAsia="Calibri" w:hAnsi="TH SarabunPSK" w:cs="TH SarabunPSK" w:hint="cs"/>
          <w:sz w:val="32"/>
          <w:szCs w:val="32"/>
          <w:cs/>
          <w:lang w:val="en-GB"/>
        </w:rPr>
        <w:t>) การสร้างนวัตกรรมองค์กร นอกจากนั้น</w:t>
      </w:r>
      <w:r w:rsidRPr="002955C9">
        <w:rPr>
          <w:rFonts w:ascii="TH SarabunPSK" w:eastAsia="Calibri" w:hAnsi="TH SarabunPSK" w:cs="TH SarabunPSK" w:hint="cs"/>
          <w:sz w:val="32"/>
          <w:szCs w:val="32"/>
          <w:cs/>
        </w:rPr>
        <w:t xml:space="preserve"> กลไกห้องปฏิบัติการชุมชนประกอบด้วยเครือข่ายความร่วมมือทั้งจากภาครัฐ องค์กรปกครองส่วนท้องถิ่น ภาคเอกชน และภาคชุมชน รูปแบบพื้นที่ห้องปฏิบัติการชุมชนเพื่อรองรับสังคมผู้สูงอายุมีลักษณะเป็นห้องปฏิบัติการทางสังคม เป็นพื้นที่สะท้อนให้เห็นถึงความหลากหลายและความร่วมมือของคนในชุมชน เน้นกระบวนการมีส่วนร่วมในการคิด ออกแบบและดำเนินกิจกรรมร่วมกัน</w:t>
      </w:r>
    </w:p>
    <w:p w:rsidR="000F1F12" w:rsidRPr="002955C9" w:rsidRDefault="000F1F12" w:rsidP="000F1F12">
      <w:pPr>
        <w:spacing w:after="0" w:line="240" w:lineRule="auto"/>
        <w:rPr>
          <w:rFonts w:ascii="TH SarabunPSK" w:eastAsia="Calibri" w:hAnsi="TH SarabunPSK" w:cs="TH SarabunPSK"/>
          <w:sz w:val="32"/>
          <w:szCs w:val="32"/>
        </w:rPr>
      </w:pPr>
      <w:r w:rsidRPr="002955C9">
        <w:rPr>
          <w:rFonts w:ascii="TH SarabunPSK" w:eastAsia="Calibri" w:hAnsi="TH SarabunPSK" w:cs="TH SarabunPSK" w:hint="cs"/>
          <w:b/>
          <w:bCs/>
          <w:sz w:val="32"/>
          <w:szCs w:val="32"/>
          <w:cs/>
        </w:rPr>
        <w:t xml:space="preserve">คำสำคัญ </w:t>
      </w:r>
      <w:r w:rsidRPr="002955C9">
        <w:rPr>
          <w:rFonts w:ascii="TH SarabunPSK" w:eastAsia="Calibri" w:hAnsi="TH SarabunPSK" w:cs="TH SarabunPSK" w:hint="cs"/>
          <w:b/>
          <w:bCs/>
          <w:sz w:val="32"/>
          <w:szCs w:val="32"/>
          <w:lang w:val="en-GB"/>
        </w:rPr>
        <w:t xml:space="preserve">: </w:t>
      </w:r>
      <w:r w:rsidRPr="002955C9">
        <w:rPr>
          <w:rFonts w:ascii="TH SarabunPSK" w:eastAsia="Calibri" w:hAnsi="TH SarabunPSK" w:cs="TH SarabunPSK" w:hint="cs"/>
          <w:sz w:val="32"/>
          <w:szCs w:val="32"/>
          <w:cs/>
          <w:lang w:val="en-GB"/>
        </w:rPr>
        <w:t>พื้นที่ห้องปฏิบัติการชุมชน</w:t>
      </w:r>
      <w:r w:rsidRPr="002955C9">
        <w:rPr>
          <w:rFonts w:ascii="TH SarabunPSK" w:eastAsia="Calibri" w:hAnsi="TH SarabunPSK" w:cs="TH SarabunPSK" w:hint="cs"/>
          <w:sz w:val="32"/>
          <w:szCs w:val="32"/>
        </w:rPr>
        <w:t>,</w:t>
      </w:r>
      <w:r w:rsidRPr="002955C9">
        <w:rPr>
          <w:rFonts w:ascii="TH SarabunPSK" w:eastAsia="Calibri" w:hAnsi="TH SarabunPSK" w:cs="TH SarabunPSK" w:hint="cs"/>
          <w:sz w:val="32"/>
          <w:szCs w:val="32"/>
          <w:cs/>
        </w:rPr>
        <w:t>สังคมผู้สูงอายุ</w:t>
      </w:r>
      <w:r w:rsidRPr="002955C9">
        <w:rPr>
          <w:rFonts w:ascii="TH SarabunPSK" w:eastAsia="Calibri" w:hAnsi="TH SarabunPSK" w:cs="TH SarabunPSK" w:hint="cs"/>
          <w:sz w:val="32"/>
          <w:szCs w:val="32"/>
        </w:rPr>
        <w:t>,</w:t>
      </w:r>
      <w:r w:rsidRPr="002955C9">
        <w:rPr>
          <w:rFonts w:ascii="TH SarabunPSK" w:eastAsia="Calibri" w:hAnsi="TH SarabunPSK" w:cs="TH SarabunPSK" w:hint="cs"/>
          <w:sz w:val="32"/>
          <w:szCs w:val="32"/>
          <w:cs/>
        </w:rPr>
        <w:t xml:space="preserve">ผู้สูงอายุ </w:t>
      </w:r>
    </w:p>
    <w:p w:rsidR="000F1F12" w:rsidRPr="002955C9" w:rsidRDefault="000F1F12" w:rsidP="000F1F12">
      <w:pPr>
        <w:spacing w:after="0" w:line="240" w:lineRule="auto"/>
        <w:rPr>
          <w:rFonts w:ascii="TH SarabunPSK" w:eastAsia="Calibri" w:hAnsi="TH SarabunPSK" w:cs="TH SarabunPSK"/>
          <w:b/>
          <w:bCs/>
          <w:sz w:val="32"/>
          <w:szCs w:val="32"/>
        </w:rPr>
      </w:pPr>
    </w:p>
    <w:p w:rsidR="000F1F12" w:rsidRPr="002955C9" w:rsidRDefault="000F1F12" w:rsidP="000F1F12">
      <w:pPr>
        <w:spacing w:after="0" w:line="240" w:lineRule="auto"/>
        <w:rPr>
          <w:rFonts w:ascii="TH SarabunPSK" w:eastAsia="Calibri" w:hAnsi="TH SarabunPSK" w:cs="TH SarabunPSK"/>
          <w:b/>
          <w:bCs/>
          <w:sz w:val="32"/>
          <w:szCs w:val="32"/>
        </w:rPr>
      </w:pPr>
      <w:r w:rsidRPr="002955C9">
        <w:rPr>
          <w:rFonts w:ascii="TH SarabunPSK" w:eastAsia="Calibri" w:hAnsi="TH SarabunPSK" w:cs="TH SarabunPSK" w:hint="cs"/>
          <w:b/>
          <w:bCs/>
          <w:sz w:val="32"/>
          <w:szCs w:val="32"/>
        </w:rPr>
        <w:t>Abstract</w:t>
      </w:r>
    </w:p>
    <w:p w:rsidR="000F1F12" w:rsidRPr="00621CE4" w:rsidRDefault="000F1F12" w:rsidP="000F1F12">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40479B">
        <w:rPr>
          <w:rFonts w:ascii="TH SarabunPSK" w:eastAsia="Calibri" w:hAnsi="TH SarabunPSK" w:cs="TH SarabunPSK"/>
          <w:sz w:val="32"/>
          <w:szCs w:val="32"/>
        </w:rPr>
        <w:t xml:space="preserve">The development process of community laboratory area and mechanism for elderlies has revealed that the situation of the </w:t>
      </w:r>
      <w:r w:rsidRPr="0040479B">
        <w:rPr>
          <w:rFonts w:ascii="TH SarabunPSK" w:eastAsia="Calibri" w:hAnsi="TH SarabunPSK" w:cs="TH SarabunPSK"/>
          <w:sz w:val="32"/>
          <w:szCs w:val="32"/>
          <w:cs/>
        </w:rPr>
        <w:t xml:space="preserve">12 </w:t>
      </w:r>
      <w:r w:rsidRPr="0040479B">
        <w:rPr>
          <w:rFonts w:ascii="TH SarabunPSK" w:eastAsia="Calibri" w:hAnsi="TH SarabunPSK" w:cs="TH SarabunPSK"/>
          <w:sz w:val="32"/>
          <w:szCs w:val="32"/>
        </w:rPr>
        <w:t>sub-districts with integrated health promotion for age groups and environment sanitation has strengths and weaknesses and its success factors include (</w:t>
      </w:r>
      <w:r w:rsidRPr="0040479B">
        <w:rPr>
          <w:rFonts w:ascii="TH SarabunPSK" w:eastAsia="Calibri" w:hAnsi="TH SarabunPSK" w:cs="TH SarabunPSK"/>
          <w:sz w:val="32"/>
          <w:szCs w:val="32"/>
          <w:cs/>
        </w:rPr>
        <w:t xml:space="preserve">1) </w:t>
      </w:r>
      <w:r w:rsidRPr="0040479B">
        <w:rPr>
          <w:rFonts w:ascii="TH SarabunPSK" w:eastAsia="Calibri" w:hAnsi="TH SarabunPSK" w:cs="TH SarabunPSK"/>
          <w:sz w:val="32"/>
          <w:szCs w:val="32"/>
        </w:rPr>
        <w:t>social capital or existing community capital; (</w:t>
      </w:r>
      <w:r w:rsidRPr="0040479B">
        <w:rPr>
          <w:rFonts w:ascii="TH SarabunPSK" w:eastAsia="Calibri" w:hAnsi="TH SarabunPSK" w:cs="TH SarabunPSK"/>
          <w:sz w:val="32"/>
          <w:szCs w:val="32"/>
          <w:cs/>
        </w:rPr>
        <w:t xml:space="preserve">2) </w:t>
      </w:r>
      <w:r w:rsidRPr="0040479B">
        <w:rPr>
          <w:rFonts w:ascii="TH SarabunPSK" w:eastAsia="Calibri" w:hAnsi="TH SarabunPSK" w:cs="TH SarabunPSK"/>
          <w:sz w:val="32"/>
          <w:szCs w:val="32"/>
        </w:rPr>
        <w:t>environment and community; (</w:t>
      </w:r>
      <w:r w:rsidRPr="0040479B">
        <w:rPr>
          <w:rFonts w:ascii="TH SarabunPSK" w:eastAsia="Calibri" w:hAnsi="TH SarabunPSK" w:cs="TH SarabunPSK"/>
          <w:sz w:val="32"/>
          <w:szCs w:val="32"/>
          <w:cs/>
        </w:rPr>
        <w:t xml:space="preserve">3) </w:t>
      </w:r>
      <w:r w:rsidRPr="0040479B">
        <w:rPr>
          <w:rFonts w:ascii="TH SarabunPSK" w:eastAsia="Calibri" w:hAnsi="TH SarabunPSK" w:cs="TH SarabunPSK"/>
          <w:sz w:val="32"/>
          <w:szCs w:val="32"/>
        </w:rPr>
        <w:t>elderly participation; and (</w:t>
      </w:r>
      <w:r w:rsidRPr="0040479B">
        <w:rPr>
          <w:rFonts w:ascii="TH SarabunPSK" w:eastAsia="Calibri" w:hAnsi="TH SarabunPSK" w:cs="TH SarabunPSK"/>
          <w:sz w:val="32"/>
          <w:szCs w:val="32"/>
          <w:cs/>
        </w:rPr>
        <w:t xml:space="preserve">4) </w:t>
      </w:r>
      <w:r w:rsidRPr="0040479B">
        <w:rPr>
          <w:rFonts w:ascii="TH SarabunPSK" w:eastAsia="Calibri" w:hAnsi="TH SarabunPSK" w:cs="TH SarabunPSK"/>
          <w:sz w:val="32"/>
          <w:szCs w:val="32"/>
        </w:rPr>
        <w:t>creating organization innovation. Furthermore, community laboratory mechanism comprises of participation network from public sector, local administration organization, private sector and community sector. The format of the community laboratory for elderly support is a social laboratory that reflects diversity and cooperation of community members, focuses on collaborative thinking and designing and conducting activities.</w:t>
      </w:r>
    </w:p>
    <w:p w:rsidR="000F1F12" w:rsidRPr="0040479B" w:rsidRDefault="000F1F12" w:rsidP="000F1F12">
      <w:pPr>
        <w:spacing w:after="0" w:line="240" w:lineRule="auto"/>
        <w:rPr>
          <w:rFonts w:ascii="TH SarabunPSK" w:eastAsia="Calibri" w:hAnsi="TH SarabunPSK" w:cs="TH SarabunPSK"/>
          <w:sz w:val="32"/>
          <w:szCs w:val="32"/>
          <w:cs/>
        </w:rPr>
      </w:pPr>
      <w:r w:rsidRPr="0040479B">
        <w:rPr>
          <w:rFonts w:ascii="TH SarabunPSK" w:eastAsia="Calibri" w:hAnsi="TH SarabunPSK" w:cs="TH SarabunPSK"/>
          <w:b/>
          <w:bCs/>
          <w:sz w:val="32"/>
          <w:szCs w:val="32"/>
        </w:rPr>
        <w:t xml:space="preserve">Keywords: </w:t>
      </w:r>
      <w:r w:rsidRPr="0040479B">
        <w:rPr>
          <w:rFonts w:ascii="TH SarabunPSK" w:eastAsia="Calibri" w:hAnsi="TH SarabunPSK" w:cs="TH SarabunPSK"/>
          <w:sz w:val="32"/>
          <w:szCs w:val="32"/>
        </w:rPr>
        <w:t>community laboratory, elderly society, elderly</w:t>
      </w:r>
    </w:p>
    <w:p w:rsidR="000F1F12" w:rsidRPr="002955C9" w:rsidRDefault="000F1F12" w:rsidP="000F1F12">
      <w:pPr>
        <w:spacing w:after="0" w:line="240" w:lineRule="auto"/>
        <w:rPr>
          <w:rFonts w:ascii="TH SarabunPSK" w:eastAsia="Calibri" w:hAnsi="TH SarabunPSK" w:cs="TH SarabunPSK"/>
          <w:b/>
          <w:bCs/>
          <w:sz w:val="32"/>
          <w:szCs w:val="32"/>
          <w:lang w:val="en-GB"/>
        </w:rPr>
      </w:pPr>
    </w:p>
    <w:p w:rsidR="000F1F12" w:rsidRDefault="000F1F12" w:rsidP="000F1F12">
      <w:pPr>
        <w:spacing w:after="0" w:line="240" w:lineRule="auto"/>
        <w:rPr>
          <w:rFonts w:ascii="TH SarabunPSK" w:eastAsia="Calibri" w:hAnsi="TH SarabunPSK" w:cs="TH SarabunPSK"/>
          <w:b/>
          <w:bCs/>
          <w:sz w:val="32"/>
          <w:szCs w:val="32"/>
        </w:rPr>
      </w:pPr>
    </w:p>
    <w:p w:rsidR="00C80E45" w:rsidRPr="000F1F12" w:rsidRDefault="002635AD">
      <w:pPr>
        <w:rPr>
          <w:lang w:val="en-GB"/>
        </w:rPr>
      </w:pPr>
      <w:bookmarkStart w:id="0" w:name="_GoBack"/>
      <w:bookmarkEnd w:id="0"/>
    </w:p>
    <w:sectPr w:rsidR="00C80E45" w:rsidRPr="000F1F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AD" w:rsidRDefault="002635AD" w:rsidP="000F1F12">
      <w:pPr>
        <w:spacing w:after="0" w:line="240" w:lineRule="auto"/>
      </w:pPr>
      <w:r>
        <w:separator/>
      </w:r>
    </w:p>
  </w:endnote>
  <w:endnote w:type="continuationSeparator" w:id="0">
    <w:p w:rsidR="002635AD" w:rsidRDefault="002635AD" w:rsidP="000F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AD" w:rsidRDefault="002635AD" w:rsidP="000F1F12">
      <w:pPr>
        <w:spacing w:after="0" w:line="240" w:lineRule="auto"/>
      </w:pPr>
      <w:r>
        <w:separator/>
      </w:r>
    </w:p>
  </w:footnote>
  <w:footnote w:type="continuationSeparator" w:id="0">
    <w:p w:rsidR="002635AD" w:rsidRDefault="002635AD" w:rsidP="000F1F12">
      <w:pPr>
        <w:spacing w:after="0" w:line="240" w:lineRule="auto"/>
      </w:pPr>
      <w:r>
        <w:continuationSeparator/>
      </w:r>
    </w:p>
  </w:footnote>
  <w:footnote w:id="1">
    <w:p w:rsidR="000F1F12" w:rsidRPr="002955C9" w:rsidRDefault="000F1F12" w:rsidP="000F1F12">
      <w:pPr>
        <w:pStyle w:val="a3"/>
        <w:rPr>
          <w:rFonts w:ascii="TH SarabunPSK" w:hAnsi="TH SarabunPSK" w:cs="TH SarabunPSK"/>
          <w:sz w:val="28"/>
          <w:szCs w:val="28"/>
          <w:cs/>
        </w:rPr>
      </w:pPr>
      <w:r w:rsidRPr="002955C9">
        <w:rPr>
          <w:rStyle w:val="a4"/>
          <w:rFonts w:ascii="TH SarabunPSK" w:hAnsi="TH SarabunPSK" w:cs="TH SarabunPSK" w:hint="cs"/>
          <w:sz w:val="28"/>
          <w:szCs w:val="28"/>
        </w:rPr>
        <w:footnoteRef/>
      </w:r>
      <w:r w:rsidRPr="002955C9">
        <w:rPr>
          <w:rFonts w:ascii="TH SarabunPSK" w:hAnsi="TH SarabunPSK" w:cs="TH SarabunPSK" w:hint="cs"/>
          <w:sz w:val="28"/>
          <w:szCs w:val="28"/>
        </w:rPr>
        <w:t xml:space="preserve"> </w:t>
      </w:r>
      <w:r w:rsidRPr="002955C9">
        <w:rPr>
          <w:rFonts w:ascii="TH SarabunPSK" w:hAnsi="TH SarabunPSK" w:cs="TH SarabunPSK" w:hint="cs"/>
          <w:sz w:val="28"/>
          <w:szCs w:val="28"/>
          <w:cs/>
        </w:rPr>
        <w:t xml:space="preserve">บทความนี้เป็นส่วนหนึ่งของโครงการสังเคราะห์กลไกและรูปแบบพื้นที่ห้องปฏิบัติการชุมชนเพื่อสังคมผู้สูงอายุ ได้รับการสนับสนุนทุนวิจัยจาก กรมอนามัย กระทระทรวงสาธารณสุข </w:t>
      </w:r>
    </w:p>
  </w:footnote>
  <w:footnote w:id="2">
    <w:p w:rsidR="000F1F12" w:rsidRPr="002955C9" w:rsidRDefault="000F1F12" w:rsidP="000F1F12">
      <w:pPr>
        <w:pStyle w:val="FootnoteText1"/>
        <w:rPr>
          <w:rFonts w:ascii="TH SarabunPSK" w:hAnsi="TH SarabunPSK" w:cs="TH SarabunPSK"/>
          <w:sz w:val="28"/>
          <w:szCs w:val="28"/>
        </w:rPr>
      </w:pPr>
      <w:r w:rsidRPr="002955C9">
        <w:rPr>
          <w:rStyle w:val="a4"/>
          <w:rFonts w:ascii="TH SarabunPSK" w:hAnsi="TH SarabunPSK" w:cs="TH SarabunPSK" w:hint="cs"/>
          <w:sz w:val="28"/>
          <w:szCs w:val="28"/>
        </w:rPr>
        <w:footnoteRef/>
      </w:r>
      <w:r w:rsidRPr="002955C9">
        <w:rPr>
          <w:rFonts w:ascii="TH SarabunPSK" w:hAnsi="TH SarabunPSK" w:cs="TH SarabunPSK" w:hint="cs"/>
          <w:sz w:val="28"/>
          <w:szCs w:val="28"/>
        </w:rPr>
        <w:t xml:space="preserve"> </w:t>
      </w:r>
      <w:r w:rsidRPr="002955C9">
        <w:rPr>
          <w:rFonts w:ascii="TH SarabunPSK" w:hAnsi="TH SarabunPSK" w:cs="TH SarabunPSK" w:hint="cs"/>
          <w:sz w:val="28"/>
          <w:szCs w:val="28"/>
          <w:cs/>
        </w:rPr>
        <w:t>อาจารย์คณะสังคมสงเคราะห์ศาสตร์ มหาวิทยาลัยธรรมศาสตร์</w:t>
      </w:r>
    </w:p>
  </w:footnote>
  <w:footnote w:id="3">
    <w:p w:rsidR="000F1F12" w:rsidRPr="00326E4C" w:rsidRDefault="000F1F12" w:rsidP="000F1F12">
      <w:pPr>
        <w:pStyle w:val="FootnoteText1"/>
        <w:rPr>
          <w:rFonts w:ascii="Angsana New" w:hAnsi="Angsana New" w:cs="Angsana New"/>
          <w:szCs w:val="20"/>
          <w:cs/>
        </w:rPr>
      </w:pPr>
      <w:r w:rsidRPr="002955C9">
        <w:rPr>
          <w:rStyle w:val="a4"/>
          <w:rFonts w:ascii="TH SarabunPSK" w:hAnsi="TH SarabunPSK" w:cs="TH SarabunPSK" w:hint="cs"/>
          <w:sz w:val="28"/>
          <w:szCs w:val="28"/>
        </w:rPr>
        <w:footnoteRef/>
      </w:r>
      <w:r w:rsidRPr="002955C9">
        <w:rPr>
          <w:rFonts w:ascii="TH SarabunPSK" w:hAnsi="TH SarabunPSK" w:cs="TH SarabunPSK" w:hint="cs"/>
          <w:sz w:val="28"/>
          <w:szCs w:val="28"/>
        </w:rPr>
        <w:t xml:space="preserve"> Lecturer at Faculty of Social Administration, </w:t>
      </w:r>
      <w:proofErr w:type="spellStart"/>
      <w:r w:rsidRPr="002955C9">
        <w:rPr>
          <w:rFonts w:ascii="TH SarabunPSK" w:hAnsi="TH SarabunPSK" w:cs="TH SarabunPSK" w:hint="cs"/>
          <w:sz w:val="28"/>
          <w:szCs w:val="28"/>
        </w:rPr>
        <w:t>Thammasat</w:t>
      </w:r>
      <w:proofErr w:type="spellEnd"/>
      <w:r w:rsidRPr="002955C9">
        <w:rPr>
          <w:rFonts w:ascii="TH SarabunPSK" w:hAnsi="TH SarabunPSK" w:cs="TH SarabunPSK" w:hint="cs"/>
          <w:sz w:val="28"/>
          <w:szCs w:val="28"/>
        </w:rPr>
        <w:t xml:space="preserve"> University, Thailand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12"/>
    <w:rsid w:val="000F1F12"/>
    <w:rsid w:val="0013183E"/>
    <w:rsid w:val="002635AD"/>
    <w:rsid w:val="00473E1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8C8D3-A9E5-40CB-AC90-8D607D60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1">
    <w:name w:val="Footnote Text1"/>
    <w:basedOn w:val="a"/>
    <w:next w:val="a3"/>
    <w:link w:val="FootnoteTextChar"/>
    <w:uiPriority w:val="99"/>
    <w:semiHidden/>
    <w:unhideWhenUsed/>
    <w:rsid w:val="000F1F12"/>
    <w:pPr>
      <w:spacing w:after="0" w:line="240" w:lineRule="auto"/>
    </w:pPr>
    <w:rPr>
      <w:sz w:val="20"/>
      <w:szCs w:val="25"/>
    </w:rPr>
  </w:style>
  <w:style w:type="character" w:customStyle="1" w:styleId="FootnoteTextChar">
    <w:name w:val="Footnote Text Char"/>
    <w:basedOn w:val="a0"/>
    <w:link w:val="FootnoteText1"/>
    <w:uiPriority w:val="99"/>
    <w:semiHidden/>
    <w:rsid w:val="000F1F12"/>
    <w:rPr>
      <w:sz w:val="20"/>
      <w:szCs w:val="25"/>
    </w:rPr>
  </w:style>
  <w:style w:type="character" w:styleId="a4">
    <w:name w:val="footnote reference"/>
    <w:basedOn w:val="a0"/>
    <w:uiPriority w:val="99"/>
    <w:semiHidden/>
    <w:unhideWhenUsed/>
    <w:rsid w:val="000F1F12"/>
    <w:rPr>
      <w:vertAlign w:val="superscript"/>
    </w:rPr>
  </w:style>
  <w:style w:type="paragraph" w:styleId="a3">
    <w:name w:val="footnote text"/>
    <w:basedOn w:val="a"/>
    <w:link w:val="a5"/>
    <w:uiPriority w:val="99"/>
    <w:semiHidden/>
    <w:unhideWhenUsed/>
    <w:rsid w:val="000F1F12"/>
    <w:pPr>
      <w:spacing w:after="0" w:line="240" w:lineRule="auto"/>
    </w:pPr>
    <w:rPr>
      <w:sz w:val="20"/>
      <w:szCs w:val="25"/>
    </w:rPr>
  </w:style>
  <w:style w:type="character" w:customStyle="1" w:styleId="a5">
    <w:name w:val="ข้อความเชิงอรรถ อักขระ"/>
    <w:basedOn w:val="a0"/>
    <w:link w:val="a3"/>
    <w:uiPriority w:val="99"/>
    <w:semiHidden/>
    <w:rsid w:val="000F1F12"/>
    <w:rPr>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2021-05-20T10:00:00Z</dcterms:created>
  <dcterms:modified xsi:type="dcterms:W3CDTF">2021-05-20T10:00:00Z</dcterms:modified>
</cp:coreProperties>
</file>