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B40B" w14:textId="3CD22458" w:rsidR="00B46D60" w:rsidRDefault="00CE66E4" w:rsidP="00CE66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66E4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CE66E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เคราะห์มุมมองของกวีต่อสตรีไทยในสมัยรัชกาลที่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66E4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CE66E4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ผ่านหนังสือนารีเรืองนาม</w:t>
      </w:r>
    </w:p>
    <w:p w14:paraId="24391472" w14:textId="64C91005" w:rsidR="00CE66E4" w:rsidRDefault="00CE66E4" w:rsidP="00CE66E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7877AC" w14:textId="75787E91" w:rsidR="00CE66E4" w:rsidRDefault="00CE66E4" w:rsidP="00CE66E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E66E4">
        <w:rPr>
          <w:rFonts w:ascii="TH SarabunPSK" w:hAnsi="TH SarabunPSK" w:cs="TH SarabunPSK" w:hint="cs"/>
          <w:sz w:val="32"/>
          <w:szCs w:val="32"/>
          <w:cs/>
        </w:rPr>
        <w:t>หัวข้อแนวคิดสตรีนิยม</w:t>
      </w:r>
      <w:r>
        <w:rPr>
          <w:rFonts w:ascii="TH SarabunPSK" w:hAnsi="TH SarabunPSK" w:cs="TH SarabunPSK" w:hint="cs"/>
          <w:sz w:val="32"/>
          <w:szCs w:val="32"/>
          <w:cs/>
        </w:rPr>
        <w:t>และเพศสภาวะ กล่าว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ลอยๆ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ขึ้นมาโดยไม่ได้เชื่อมโยงกับบริบทหรือประเด็นก่อนหน้า น่าจะเชื่อมโยงประเด็นต่อจากการทบทวนวรรณกรรมมาสู่การกล่าวถึงแนวคิด เนื้อหาจะได้ลื่นไหลมากขึ้น</w:t>
      </w:r>
    </w:p>
    <w:p w14:paraId="2A9C720B" w14:textId="5A68E8B5" w:rsidR="00CE66E4" w:rsidRDefault="00CE66E4" w:rsidP="00CE66E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ควรทบทวนวรรณกรรมงานด้านสตรีนิยมจากนักวิชาการอื่นๆเพิ่มเติม เช่น งานของอาจารย์ฉลาดชาย รมิตานนท์</w:t>
      </w:r>
    </w:p>
    <w:p w14:paraId="05B457C7" w14:textId="77777777" w:rsidR="00CB4867" w:rsidRPr="00CE66E4" w:rsidRDefault="00CB4867" w:rsidP="00CB4867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CB4867" w:rsidRPr="00CE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1A0C"/>
    <w:multiLevelType w:val="hybridMultilevel"/>
    <w:tmpl w:val="4992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4"/>
    <w:rsid w:val="00B46D60"/>
    <w:rsid w:val="00CB4867"/>
    <w:rsid w:val="00C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BE2C"/>
  <w15:chartTrackingRefBased/>
  <w15:docId w15:val="{C154C8F1-0B3F-4816-89C7-249EC18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2021-06-04T06:42:00Z</dcterms:created>
  <dcterms:modified xsi:type="dcterms:W3CDTF">2021-06-04T06:46:00Z</dcterms:modified>
</cp:coreProperties>
</file>